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阈值草案应先纠偏，再按机构权限复核</w:t>
      </w:r>
    </w:p>
    <w:p>
      <w:pPr>
        <w:pStyle w:val="Heading1"/>
      </w:pPr>
      <w:r>
        <w:t>决定建议与时点</w:t>
      </w:r>
    </w:p>
    <w:p>
      <w:r>
        <w:t>建议返修D01-D12后交法务复核，不将提案表直接部署。FAR Case 2024-001终稿2025-08-27发布、2025-10-01生效；提案2024-11-29发布、2025-01-28意见截止，二者均不能替代终稿生效日。FAC介绍默认日期也明确排除本案。分析截点2025-10-02 12:00 America/New_York；本包于2026取得公开原件，仅作历史版本对照，不声称2026现行FAR全貌。</w:t>
      </w:r>
    </w:p>
    <w:p>
      <w:pPr>
        <w:pStyle w:val="Heading1"/>
      </w:pPr>
      <w:r>
        <w:t>实质变化与例外</w:t>
      </w:r>
    </w:p>
    <w:p>
      <w:r>
        <w:t>优先纠正13.500(a)提案950万→终稿900万美元；13.500(c)拟从1500万升2000万在终稿撤回，维持1500万。6.304低档和19.702一般值均为90万而非提案95万。19.702施工值200万；这些阈值不能单独替代完整适用条件或例外核对。一般MPT为15,000美元，但工资要求施工2,000、服务劳工2,500例外保留。一般SAT350,000，特殊条件下定义(1)(i)/(ii)分别100万/200万，(2)人道/维和650,000；需先核条件，不能靠紧急称呼或一般值覆盖所有采购。</w:t>
      </w:r>
    </w:p>
    <w:p>
      <w:r>
        <w:t>15.403-4按合同授予日在2018-07-01之前或当日及之后区分：前类75万→95万美元，后类200万→250万。前类调整是终稿回应评论新增，不能遗漏。part 5通知25,000美元因贸易协定不变；本次也不调整Davis-Bacon、服务劳工、履约/付款保证与贸易协定法定排除。6.204(b)的3000万是拟向合格8(a)参与者单一来源授予时的单独论证/D&amp;F门槛，不是把所有大额竞争限于8(a)。依据详见Excel逐项PDF页码和条款。</w:t>
      </w:r>
    </w:p>
    <w:p>
      <w:pPr>
        <w:pStyle w:val="Heading1"/>
      </w:pPr>
      <w:r>
        <w:t>审批金额不能当授权书</w:t>
      </w:r>
    </w:p>
    <w:p>
      <w:r>
        <w:t>6.304(a)(1)≤900,000美元的规定采购官证明可作批准，机构程序可要求更高；&gt;900,000至2000万交竞争倡导者或(a)(3)/(4)官员，竞争倡导者该权不可转授权。故P01恰90万为第一档，P02多1美元即第二档。P03普通民事9200万超过9000万，交高级采购执行官；P04 DoD相同金额仍≤其1.5亿特别上限，归采购活动负责人或合格指定人，军人为将官，文职高于GS-15或可比更高职级。高级采购执行官权限原则不可转授权，条款对国防部指定职务有特定例外，不能化成任意经理均可批准。题内没有真实授权和签字。</w:t>
      </w:r>
    </w:p>
    <w:p>
      <w:pPr>
        <w:pStyle w:val="Heading1"/>
      </w:pPr>
      <w:r>
        <w:t>计算依据与证据范围</w:t>
      </w:r>
    </w:p>
    <w:p>
      <w:r>
        <w:t>提案预计2025年3月CPI 323.193；实际3月为319.799，终稿采用可获得的4月320.795。部分提案阈值因重算降低或不再上调，不能统一按估计比例加成。提案说明以基年金额而非2020已舍入金额为基础，再依法定档次取整。本题要求解释依据，不要求自行重算未提供基年数据的所有阈值。PDF第一页可能含相邻文书，引用须锁定本案标题、DATES和具体条款。</w:t>
      </w:r>
    </w:p>
    <w:p>
      <w:pPr>
        <w:pStyle w:val="Heading1"/>
      </w:pPr>
      <w:r>
        <w:t>执行次序与待核</w:t>
      </w:r>
    </w:p>
    <w:p>
      <w:r>
        <w:t>政策维护人先锁版本/时点，制度与配置负责人逐项修错，采购分析员补例外及合同日期，授权流程维护人核机构程序和指定人证据；法务复核后交制度负责人决定内部修订。具体合同另由有权限采购者审批。关闭证据应包括修订差异、配置及边界测试、条款定位和实际授权资料，不能写‘相关部门处理’即关闭。2025-10-03 10:00 America/New_York仅拟交接；所有修改、部署、测试和批准均待做。两份官方PDF是真实原件，内部草案与案例为原创演练，不声称真实机构已经采用这些错误或已整改。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