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RECOVERY证据更新：有条件采用7月稿</w:t>
      </w:r>
    </w:p>
    <w:p>
      <w:r>
        <w:t>分析时点2020-07-18 | 基于真实公开论文的研究编辑交接</w:t>
      </w:r>
    </w:p>
    <w:p>
      <w:pPr>
        <w:pStyle w:val="Heading1"/>
      </w:pPr>
      <w:r>
        <w:t>发布决定与适用范围</w:t>
      </w:r>
    </w:p>
    <w:p>
      <w:r>
        <w:t>截至2020-07-18，以7月17日存档正文更新研究证据摘要，保留6月22日预印本作版本追踪；两者是同一RECOVERY比较，不合并为两项独立试验。7月存档标题仍称Preliminary Report，不能以检索元数据的后续日期或标题冒充已核对最终稿。本交付供医学研究编辑使用，不构成机构临床授权或个体处方。</w:t>
      </w:r>
    </w:p>
    <w:p>
      <w:r>
        <w:t>可以陈述总体28日死亡下降及呼吸支持人群的证据，但须分别说明估计口径、人群和不确定性。无呼吸支持亚组7月报告1.19、95%CI 0.91–1.55：没有显示获益，不能排除伤害；既不写成全部住院者获益，也不声称已经证明显著伤害。[JULY Abstract/Primary Outcome]</w:t>
      </w:r>
    </w:p>
    <w:p>
      <w:pPr>
        <w:pStyle w:val="Heading1"/>
      </w:pPr>
      <w:r>
        <w:t>数据更新不等于新增独立样本</w:t>
      </w:r>
    </w:p>
    <w:p>
      <w:r>
        <w:t>主比较始终为2104对4321，共6425。死亡从454/1065更新为482/1110；粗风险差从约3.07变为2.78个百分点，粗风险比约0.875变为0.892，而发表的年龄调整rate ratio均为0.83，其95%CI从0.74–0.92更新为0.75–0.93。粗28日ARR倒数向上取整的描述性NNT为33与36，不是年龄调整估计，更不是所有患者的治疗承诺。[两版本Table2；台账结局复算/NNT说明]</w:t>
      </w:r>
    </w:p>
    <w:p>
      <w:r>
        <w:t>6月报告全平台11320，7月11303，适格均9355；不能把这17人的差异解释成本比较剔除17人。两版本已发生事件数的差值也不能用于构建个体转归。需向作者核实全平台计数修订原因。[两版本Results/Patients]</w:t>
      </w:r>
    </w:p>
    <w:p>
      <w:pPr>
        <w:pStyle w:val="Heading1"/>
      </w:pPr>
      <w:r>
        <w:t>完整性与分母必须分开</w:t>
      </w:r>
    </w:p>
    <w:p>
      <w:r>
        <w:t>6月比较随访完整6119/6425，未完整306，约4.76%；7月主要终点完整6418，未完整7，约0.109%。7月完成随访表2079+4278=6357，缺表68；缺表不等于主要终点缺失，因为还有常规医疗和登记资料。没有个体交叉表，不能声称这68人与7人的具体重叠关系，也不能相加。[JUNE Results/Patients；JULY Procedures及Results/Patients]</w:t>
      </w:r>
    </w:p>
    <w:p>
      <w:r>
        <w:t>涉及基线未接受IMV者的三个结局，分母必须是1780和3638，分别等于2104-324和4321-683，而非全比较人数。IMV与死亡不能直接相加：包含-排除法得到6月两组交集27/106，7月33/118。它们仅为同版本集合重叠，不能说明事件先后或插管导致死亡。[两版本Table1/Table2]</w:t>
      </w:r>
    </w:p>
    <w:p>
      <w:pPr>
        <w:pStyle w:val="Heading1"/>
      </w:pPr>
      <w:r>
        <w:t>统计表述与发布前核实</w:t>
      </w:r>
    </w:p>
    <w:p>
      <w:r>
        <w:t>死亡与出院采用年龄调整Cox rate ratio；IMV或死亡等采用年龄调整log-binomial risk ratio。年龄调整是在发现1.1岁不平衡后加入，非原始SAP预先规定；未调整敏感性结论相近是正文报告，不能声称凭汇总表重新拟合。台账把粗风险比与发表值分列。[两版本Statistical Analysis/Table2脚注]</w:t>
      </w:r>
    </w:p>
    <w:p>
      <w:r>
        <w:t>6月复合终点报告P=.049、95%CI上界四舍五入为1.00；7月更新为0.92、95%CI 0.84–1.01。不得套用旧P值称7月复合终点确证获益。6月图注说明6月16日新闻稿亚组区间为99%而非95%，端点差异不能直接当错算。[JUNE pp.19–20/Table2；JULY Table2]</w:t>
      </w:r>
    </w:p>
    <w:p>
      <w:r>
        <w:t>保留6月原文中的6月10日数据截止和6月8日部分删失日期，核实其含义，不自行改为相同日期；7月数据截止为7月6日。发布前再核实全平台人数修订、原始SAP与后增调整、当前存档是否为所需版本及原始逐人缺失情况。本次未获取作者回复、患者级数据库或机构临床批准。只可据已给证据发布有边界的研究摘要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