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医疗器械召回回溯月报的去重、口径复算与证据升级</w:t>
      </w:r>
    </w:p>
    <w:p>
      <w:pPr>
        <w:pStyle w:val="Heading1"/>
      </w:pPr>
      <w:r>
        <w:t>角色与真实材料边界</w:t>
      </w:r>
    </w:p>
    <w:p>
      <w:r>
        <w:t>医疗器械质量管理办公室的数据分析员，交付给数据负责人和医疗器械警戒工作负责人。</w:t>
      </w:r>
    </w:p>
    <w:p>
      <w:r>
        <w:t>两份API响应和官方数据说明、字段字典均为真实公开数据；委托范围、内部复核顺序和拟交接时间是原创分析任务要求，不冒称真实医院记录、临床指令或已执行处置。</w:t>
      </w:r>
    </w:p>
    <w:p>
      <w:r>
        <w:t>以2024年1月report_date为主报告月，2月仅作明确区隔的比较组。根据所附2026年10月捕获的两份快照核查统计，不重建2024年当时可知的信息集。</w:t>
      </w:r>
    </w:p>
    <w:p>
      <w:pPr>
        <w:pStyle w:val="Heading1"/>
      </w:pPr>
      <w:r>
        <w:t>必须完成</w:t>
      </w:r>
    </w:p>
    <w:p>
      <w:r>
        <w:t>核验两份响应meta.results的skip/limit/total与实际返回行数；明确仅在所附批次内讨论完整性，不把查询完整等同全市场覆盖。</w:t>
      </w:r>
    </w:p>
    <w:p>
      <w:r>
        <w:t>保留recall_number与event_id，记录级计数用recall_number唯一性，事件级按event_id分组；如出现相同召回编号冲突，列异常而非静默覆盖。</w:t>
      </w:r>
    </w:p>
    <w:p>
      <w:r>
        <w:t>分别报告两月记录数、唯一事件数、Class I/II/III记录数、Class I记录比例及涉及Class I的事件数和事件比例。所有比例给分母，保留两位百分比。</w:t>
      </w:r>
    </w:p>
    <w:p>
      <w:r>
        <w:t>保留原始status词形，分别统计Ongoing、Completed、Terminated及其他；解释字段字典On-Going与响应Ongoing的词形差异，不改写原始文件。</w:t>
      </w:r>
    </w:p>
    <w:p>
      <w:r>
        <w:t>列出一月全部记录的编号、事件ID、报告日、启动日、等级、原始状态、企业及JSON pointer；列出一月全部事件的记录数、召回编号集合、等级集合与状态集合。</w:t>
      </w:r>
    </w:p>
    <w:p>
      <w:r>
        <w:t>统计一月记录中启动日早于2024-01-01的数量，不把1月报告数写成1月新发生召回数；展示记录数最高事件及其对应产品编号，不按企业名合并不同事件。</w:t>
      </w:r>
    </w:p>
    <w:p>
      <w:r>
        <w:t>比较两个月的事件集合交集与并集；只能根据实际数据报告有无重叠，不假定一定存在重复事件。</w:t>
      </w:r>
    </w:p>
    <w:p>
      <w:r>
        <w:t>不汇总product_quantity为统一数量：原文混有cases、units、kits等，不能无依据换算或把记录占比当患者/设备风险率。</w:t>
      </w:r>
    </w:p>
    <w:p>
      <w:r>
        <w:t>从官方说明和字段字典解释风险等级与处理状态的不同；指出发布状态不会持续更新的官方限制，不能由快照推断当前召回闭环、医院已完成整改或允许临床恢复使用。</w:t>
      </w:r>
    </w:p>
    <w:p>
      <w:r>
        <w:t>记录快照获取时点、meta.last_updated、报告日和启动日的不同含义；不得将2026年快照冒充2024年历史原始档案。</w:t>
      </w:r>
    </w:p>
    <w:p>
      <w:r>
        <w:t>对需要当前状态、批次/序列号匹配、厂商纠正措施及本单位资产处置证据的事项列待核、负责复核角色和可核查关闭证据，注明未联系、未执行。</w:t>
      </w:r>
    </w:p>
    <w:p>
      <w:r>
        <w:t>生成能从原始JSON重新计算关键统计的纯标准库Python脚本，默认读取/app/input_files，可用--input-dir指定目录，向stdout输出JSON；不得把预期数值硬编码为计算结果。</w:t>
      </w:r>
    </w:p>
    <w:p>
      <w:r>
        <w:t>Excel保留全部214条一月记录及全部一月事件，支持筛选；长code_info由明确原文件名和JSON pointer定位，不在Excel单元格中静默截断为完整批次清单。</w:t>
      </w:r>
    </w:p>
    <w:p>
      <w:r>
        <w:t>备忘录为中文A4不超过3页，面向交接者给出结论、口径、局限和待核动作，与工作簿一致。</w:t>
      </w:r>
    </w:p>
    <w:p>
      <w:pPr>
        <w:pStyle w:val="Heading1"/>
      </w:pPr>
      <w:r>
        <w:t>交接与权限</w:t>
      </w:r>
    </w:p>
    <w:p>
      <w:r>
        <w:t>数据分析员核对原始记录与统计，数据负责人复核口径后交警戒工作负责人决定是否另行向厂商/FDA或本单位台账求证。2026-10-21 09:00 UTC仅为拟交接时间；不要求联系、发公告、处置实物或恢复器械使用。</w:t>
      </w:r>
    </w:p>
    <w:p>
      <w:pPr>
        <w:pStyle w:val="Heading1"/>
      </w:pPr>
      <w:r>
        <w:t>输出</w:t>
      </w:r>
    </w:p>
    <w:p>
      <w:r>
        <w:t>MED-FG-018_回溯核查.xlsx</w:t>
      </w:r>
    </w:p>
    <w:p>
      <w:r>
        <w:t>MED-FG-018_交接备忘录.docx</w:t>
      </w:r>
    </w:p>
    <w:p>
      <w:r>
        <w:t>MED-FG-018_复算.py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