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召回回溯数据交接：先分清统计对象和时点</w:t>
      </w:r>
    </w:p>
    <w:p>
      <w:pPr>
        <w:pStyle w:val="Heading1"/>
      </w:pPr>
      <w:r>
        <w:t>交接结论</w:t>
      </w:r>
    </w:p>
    <w:p>
      <w:r>
        <w:t>本次主报告为report_date在2024年1月的器械Enforcement快照，共214个唯一召回编号、101个event_id；不是214起独立事件。二月是独立比较组，296条记录、96个事件，不混入一月分母。两月实际event_id交集为0、并集197；这是本批核查结果，不是假定事件不会跨月出现。</w:t>
      </w:r>
    </w:p>
    <w:p>
      <w:pPr>
        <w:pStyle w:val="Heading1"/>
      </w:pPr>
      <w:r>
        <w:t>核查数字及分母</w:t>
      </w:r>
    </w:p>
    <w:p>
      <w:r>
        <w:t>一月Class I/II/III记录为18/188/8，I类记录比例18/214=8.41%；涉及I类的事件10个，其事件比例10/101=9.90%。二月对应45/251/0、45/296=15.20%，涉及I类11个事件、11/96=11.46%。记录占比与事件占比不同，也都不是患者风险或市场设备发生率。</w:t>
      </w:r>
    </w:p>
    <w:p>
      <w:r>
        <w:t>一月33个事件包含多条记录。最多记录的event_id 93679有17个召回编号，完整集合在事件表；不能按企业名再合并其他事件。原始状态计数一月Ongoing/Completed/Terminated为201/8/5，二月294/0/2。保留API的Ongoing词形；字典On-Going可作解释对应，不能改写源数据。</w:t>
      </w:r>
    </w:p>
    <w:p>
      <w:pPr>
        <w:pStyle w:val="Heading1"/>
      </w:pPr>
      <w:r>
        <w:t>时间、来源与完整性</w:t>
      </w:r>
    </w:p>
    <w:p>
      <w:r>
        <w:t>本批响应于2026-10-20获取，meta.last_updated均为2026-10-07；不是2024年原始历史API档案。report_date是FDA报告日，recall_initiation_date是厂商开始通知日。一月214条中213条在2024-01-01前已启动，故不能把一月报告数当一月新发生数。</w:t>
      </w:r>
    </w:p>
    <w:p>
      <w:r>
        <w:t>两份响应skip=0、limit=1000，meta.total分别214/296且与实际条数相等，只证明提供的两个月查询批次无分页截尾，不证明全市场、未报告或其他接口的完整覆盖。工作簿保留214条一月明细和101个事件，打印页只展示各明细表前10行；完整表可筛选。原始JSON pointer保留长批次文本来源，不声称Excel摘要是完整批次清单。</w:t>
      </w:r>
    </w:p>
    <w:p>
      <w:pPr>
        <w:pStyle w:val="Heading1"/>
      </w:pPr>
      <w:r>
        <w:t>官方限制与待核</w:t>
      </w:r>
    </w:p>
    <w:p>
      <w:r>
        <w:t>官方Device Enforcement说明明确不应用该数据追踪召回生命周期，发布后的状态不会持续更新；字段字典的Completed/Terminated定义不能消除新鲜度限制。没有医院库存、厂商当前通知或维修验收记录，不能据此宣称具体设备已匹配、已纠正或可恢复使用，也不发布公众警报或医疗建议。</w:t>
      </w:r>
    </w:p>
    <w:p>
      <w:r>
        <w:t>product_quantity混有cases、units、kits及无单位数字，不统一求和。openfda空对象也不证明已获得UDI字段。需要当前状态时先取得厂商/FDA带日期资料；需判断资产时核对型号/UDI/批次/序列号和真实库存；需关闭整改时核实纠正要求与实际处置记录，再交专业负责人复核。</w:t>
      </w:r>
    </w:p>
    <w:p>
      <w:pPr>
        <w:pStyle w:val="Heading1"/>
      </w:pPr>
      <w:r>
        <w:t>下一动作与复算</w:t>
      </w:r>
    </w:p>
    <w:p>
      <w:r>
        <w:t>数据分析员交原始快照、脚本和本工作簿，数据负责人复核分母/ID/时点，再由警戒工作负责人决定是否另行求证。V1–V4全为待核，未联系厂商、未处置实物、未取得临床放行；2026-10-21 09:00 UTC仅拟交接时间。纯标准库脚本支持--input-dir，实际读取原始JSON并验证完整性后输出统计JSON；不依赖联网或手填预期数。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