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手卫生监测中的观察偏倚、指标纠错与试点设计</w:t>
      </w:r>
    </w:p>
    <w:p>
      <w:pPr>
        <w:pStyle w:val="Heading1"/>
      </w:pPr>
      <w:r>
        <w:t>用途与事实边界</w:t>
      </w:r>
    </w:p>
    <w:p>
      <w:r>
        <w:t>本院质量负责人拟决定是否进入监测可行性试点，不是立即购买RTLS或修改临床流程。2014论文是外部证据；本文本、供应商D01-D10和下面资源是原创演练。实际检索2026年，不冒称当时采集。来源作者Srigley等，BMJ Quality &amp; Safety，2014，DOI 10.1136/bmjqs-2014-003080，CC BY-NC 4.0。商用和再分发许可未确认，禁止公开材料。</w:t>
      </w:r>
    </w:p>
    <w:p>
      <w:pPr>
        <w:pStyle w:val="Heading1"/>
      </w:pPr>
      <w:r>
        <w:t>试点资源与顺序</w:t>
      </w:r>
    </w:p>
    <w:p>
      <w:r>
        <w:t>6周，总分析员工时至多36小时，院感护士至多12小时，信息治理角色至多6小时；均为6周合计而非每周。仅作计划，允许不购买新设备；RTLS可用性及数据接口尚未确认，未确认前仅桌面设计。第1周先审指标和批准范围；实际采集前须质量负责人批准方案、信息治理审查最小字段和保存期、现场院感负责人确认教育与观察安排。保留直接观察的教育与技术评估功能，不做隐蔽的员工个人排名。</w:t>
      </w:r>
    </w:p>
    <w:p>
      <w:pPr>
        <w:pStyle w:val="Heading1"/>
      </w:pPr>
      <w:r>
        <w:t>可核验交付</w:t>
      </w:r>
    </w:p>
    <w:p>
      <w:r>
        <w:t>Excel含六组完整三位置中位数、五比较原始p值与走廊复算公式。指标字典明确单位、分子/分母、重复合并、缺失和可解释范围。试点按周列角色/小时/工作包/进入与退出证据，定义无法取得机会数或批准时如何停止/分流。Word不超过3页。只用已发表汇总数据，无本院原始结果；不得从公开摘要推断个体或重算配对p值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