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手卫生监测提案：先修指标，再决定试点</w:t>
      </w:r>
    </w:p>
    <w:p>
      <w:pPr>
        <w:pStyle w:val="Heading1"/>
      </w:pPr>
      <w:r>
        <w:t>建议与范围</w:t>
      </w:r>
    </w:p>
    <w:p>
      <w:r>
        <w:t>建议有条件进入6周桌面设计及测量可行性试点，不据此批准采购、上线或员工排名。Srigley等2014年外院两移植病区回顾性研究显示走廊事件率与观察员可见性相关；12次audit的37个时空段不是37名受试者，也不是随机试验。研究无机会数和本院感染结局，不能把3.75次/消毒器/小时当375%依从率或承诺感染下降。</w:t>
      </w:r>
    </w:p>
    <w:p>
      <w:pPr>
        <w:pStyle w:val="Heading1"/>
      </w:pPr>
      <w:r>
        <w:t>复算与草案处置</w:t>
      </w:r>
    </w:p>
    <w:p>
      <w:r>
        <w:t>Excel保留表1六组的三个位置中位数与原文p值；五组走廊中位数比值约为2.534、3.505、2.5、3、2.5，对应相对增加约153.38%、250.47%、150%、200%、150%，不是增加250%-350%或依从率百分点。原文Discussion措辞与此复算区分保留。中位数不可简单相加或平均成总体1.43；无逐段配对原始数据，不重跑Wilcoxon或捏造CI。D06保留，其余九项改写见草案审阅。病房p&gt;0.05是未检出差异，不能当绝无影响或已证等效。</w:t>
      </w:r>
    </w:p>
    <w:p>
      <w:pPr>
        <w:pStyle w:val="Heading1"/>
      </w:pPr>
      <w:r>
        <w:t>试点工作与停止条件</w:t>
      </w:r>
    </w:p>
    <w:p>
      <w:r>
        <w:t>按Excel六周试点安排分析员36小时、护士12小时、治理6小时；质量负责人批准方案、治理审查最小字段/保存期、院感负责人确认观察教育安排后才采集。第2周先验证接口、时钟、在线时长、四秒合并和空间匹配，无RTLS则转桌面/观察设计，不捏造本地数据。第3-4周按批准分层检查时间、位置、可见性、覆盖和缺失；第5周分开报告事件率及具备机会数的观察依从率；第6周复核和教育反馈。缺机会数只报告事件率，接口/隐私异常暂停，批准延迟则延后，不默认为通过。</w:t>
      </w:r>
    </w:p>
    <w:p>
      <w:pPr>
        <w:pStyle w:val="Heading1"/>
      </w:pPr>
      <w:r>
        <w:t>测量与发布门槛</w:t>
      </w:r>
    </w:p>
    <w:p>
      <w:r>
        <w:t>保留直接观察对操作技术、指征时刻和教育的作用，RTLS作互补。同步不可见位置、相同位置既往同日时、到达前1-5分钟三个比较各有控制目的；前1分钟可能进入视野而排除，仍不消除全部混杂。RTLS自身也可能产生观察效应，模拟100%检出不等于本院现场保证。本院适用性、数据许可和隐私需本地复核，不输出个人追踪排名。来源：Srigley等，BMJ Quality &amp; Safety，2014，DOI 10.1136/bmjqs-2014-003080；CC BY-NC 4.0，商用和再分发许可待审，当前不公开。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