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检验参考区间迁移的文献疑点、单位与发布门槛审查</w:t>
      </w:r>
    </w:p>
    <w:p>
      <w:pPr>
        <w:pStyle w:val="Heading1"/>
      </w:pPr>
      <w:r>
        <w:t>委托与边界</w:t>
      </w:r>
    </w:p>
    <w:p>
      <w:r>
        <w:t>你是虚构医院检验质量分析员，向检验科主任提交目录迁移审查包。封闭审阅截点2026-10-19 10:00 Asia/Shanghai，厂商提议次日08:00发布。论文、NIST资料为真实外部资料，本委托及迁移事件是原创演练。没有本地患者原始数据、平台可比性验证或临床签批，不得把外部研究视为本院已验证区间，也不作个体诊疗。</w:t>
      </w:r>
    </w:p>
    <w:p>
      <w:r>
        <w:t>先逐表审查论文Results表3/5/6与方法，保留原始分子、分母、组别、单位和区间上下界；核每组比例，分开原区间、文献替代与厂家区间。区间验证不是用20人新建区间。论文表内矛盾需准确定位和索原始证据，不替作者更正数字。</w:t>
      </w:r>
    </w:p>
    <w:p>
      <w:pPr>
        <w:pStyle w:val="Heading1"/>
      </w:pPr>
      <w:r>
        <w:t>具体工作</w:t>
      </w:r>
    </w:p>
    <w:p>
      <w:r>
        <w:t>复核表5总Ca、男性ALP、女性&lt;50岁ALP两组及表6相应国际替代区间两组，共12行。用20作各组分母，保留每组原计数；另记录女性≥50岁ALP原组19/20但替代区间未验证，以及Alb/TP≥70岁仅2人未验证。不要把40当每一组分母、混两组或借另一年龄区间填空。</w:t>
      </w:r>
    </w:p>
    <w:p>
      <w:r>
        <w:t>审查表3男性RBC、Hb、Hct区间与中位数/IQR及20/20的数学一致性，不把矛盾改成推测的正确计数。按候选目录逐项换算数值和单位；SI前缀变换可复核，mmol/L到mg/dL缺少经确认的分析物摩尔质量/变换定义则保留待核，不暗算。表4PT单位疑点可额外记录，但不是强制评分项。</w:t>
      </w:r>
    </w:p>
    <w:p>
      <w:r>
        <w:t>核对截至截点可见的厂商包及SOP签发/生效/授权。分别说明当前审阅适用流程与拟次日发布适用流程。QA导入校验不是临床审查，厂商/分析员无最终发布权限。按输入给出具体责任人角色、所缺材料、先后顺序和无法补证时的分流；不得把未来回包、草案或预计签字写成已完成。</w:t>
      </w:r>
    </w:p>
    <w:p>
      <w:r>
        <w:t>逐项审阅D01-D10，给保留/改写、可替换的准确文字和来源定位；说明研究人群/平台限制、论文所述复核触发而非杜撰标准固定年度要求，及许可文字冲突。</w:t>
      </w:r>
    </w:p>
    <w:p>
      <w:pPr>
        <w:pStyle w:val="Heading1"/>
      </w:pPr>
      <w:r>
        <w:t>交付与禁止动作</w:t>
      </w:r>
    </w:p>
    <w:p>
      <w:r>
        <w:t>仅交/app/output/MED-FG-020_迁移审核.xlsx和MED-FG-020_发布建议.docx。Excel覆盖12组原计数/比例、七项单位目录、三处表内疑点、十条厂商说法、版本/审批及关闭清单；可筛选，公式或等价可复核步骤，保留上下界原精度、百分比两位。Word中文A4最多3页，面向主任说明决定、关键修订和行动条件，与Excel一致；允许等价表名、顺序、算法和措辞。</w:t>
      </w:r>
    </w:p>
    <w:p>
      <w:r>
        <w:t>引用真实JATS章节/表号或NIST实际PDF页；不联网补标准或新数据，不改输入，不猜本地验证/批准结果或摩尔质量，不编造作者回函、许可、部署和患者结局。不得实际发布/修改LIS/联络作者/执行临床动作，不以URL、压缩包、加密文件代成果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