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检验目录迁移：暂缓发布，分项关闭证据缺口</w:t>
      </w:r>
    </w:p>
    <w:p>
      <w:pPr>
        <w:pStyle w:val="Heading1"/>
      </w:pPr>
      <w:r>
        <w:t>截至截点的决定</w:t>
      </w:r>
    </w:p>
    <w:p>
      <w:r>
        <w:t>截至2026-10-19 10:00 Asia/Shanghai，采用09:10厂商包V2，建议暂缓拟2026-10-20 08:00实际发布。可继续隔离环境中的映射修订与补证，不改LIS。当前生效SOP V1；18日签发的V2于20日00:00才生效，因此拟次日窗口需主任与医疗质量负责人双签。导入QA已完成，但09:20专业审查仅草案，最终发布单无人签署，厂商/分析员均不能代批。10:20 V3和所谓回函不回填本轮。</w:t>
      </w:r>
    </w:p>
    <w:p>
      <w:pPr>
        <w:pStyle w:val="Heading1"/>
      </w:pPr>
      <w:r>
        <w:t>证据和数字</w:t>
      </w:r>
    </w:p>
    <w:p>
      <w:r>
        <w:t>真实克罗地亚论文仅为外部成人单中心、特定平台研究。表5原总Ca两组75%/80%、男性ALP75%/65%、女性&lt;50 ALP50%/55%，均不满足该研究18/20流程；表6国际替代总Ca95%/100%、男性ALP100%/95%、女性&lt;50 ALP95%/100%。每组20，N=40不是各组分母。国际总Ca2.20-2.60与厂家2.20-2.65须分开；女性&gt;=50 ALP原组19/20不填补替代区间NA，Alb/TP&gt;=70各2人不算已验证。以上不能替代本地验证，更不能用20人新建区间。</w:t>
      </w:r>
    </w:p>
    <w:p>
      <w:r>
        <w:t>表3男性RBC、Hb、Hct分别Q1=4.27、128、0.382，均低于其下限4.34、138、0.415，却报20/20全在区间内，需原始证据或勘误澄清；保留矛盾，不猜正确计数、不伪造个体数据或p值，不据此断言整篇无效。</w:t>
      </w:r>
    </w:p>
    <w:p>
      <w:pPr>
        <w:pStyle w:val="Heading1"/>
      </w:pPr>
      <w:r>
        <w:t>配置修订与适用限制</w:t>
      </w:r>
    </w:p>
    <w:p>
      <w:r>
        <w:t>按NIST SP811 PDF19 Table5、PDF20 Table6的前缀与单位规则，Hb应13.80-17.50 g/dL，Alb&lt;70为4.06-5.14、TP&lt;70为6.60-8.10 g/dL；原总Ca为2140-2530 umol/L，国际替代为2200-2600 umol/L。U06质量浓度转换缺确认摩尔质量/变换定义，保持待核；U07男性ALP同单位43-115仅映射不授权跨人群。D01-D10逐条替换见Excel。论文所述变化触发复核不是固定年度标准要求；未读取CLSI/ISO原件。</w:t>
      </w:r>
    </w:p>
    <w:p>
      <w:pPr>
        <w:pStyle w:val="Heading1"/>
      </w:pPr>
      <w:r>
        <w:t>责任人与关闭顺序</w:t>
      </w:r>
    </w:p>
    <w:p>
      <w:r>
        <w:t>质量分析员保留来源/组别/时点及疑点记录，整理映射修订草案；检验专业人员核人群/方法、未知转换与必要本地验证，签结专业审查；文献责任人索原表澄清，由合规责任人核CC BY链接与non-commercial文字冲突，不公开全文。QA对修订后相同配置版本重测并留哈希。拟20日窗口由主任与医疗质量负责人按V2联合签署后，IT才可依单执行并留部署记录；任一缺失则延后或分项重新审查，不伪造回函、批准、部署、许可或患者结局。所有这些是待办，未声称完成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