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运输原型首年购车方案 — 决策说明</w:t>
      </w:r>
    </w:p>
    <w:p>
      <w:pPr>
        <w:jc w:val="right"/>
      </w:pPr>
      <w:r>
        <w:rPr>
          <w:color w:val="808080"/>
          <w:sz w:val="18"/>
        </w:rPr>
        <w:t>Hexline 工作室 · 系统分析组</w:t>
      </w:r>
    </w:p>
    <w:p>
      <w:pPr>
        <w:pStyle w:val="Heading1"/>
      </w:pPr>
      <w:r>
        <w:t>一、分析框架</w:t>
      </w:r>
    </w:p>
    <w:p>
      <w:r>
        <w:t>基于六条运输路线（C1 煤炭、G1/G2 货物、P1/P2 旅客、M1 邮件），在车队上限 4 辆、单路线上限 3 辆、同组互斥的约束下，穷举所有合法车队组合，按「压力净现金 → 基准净现金 → 采购额 → 车辆向量字典序」排序，取每种预算下的最优方案及紧随其后的最多三个次优方案。压力情景模拟需求降为 80%、老化周期 +4、循环天数 +10 的运营恶化。</w:t>
      </w:r>
    </w:p>
    <w:p>
      <w:pPr>
        <w:pStyle w:val="Heading1"/>
      </w:pPr>
      <w:r>
        <w:t>二、标准预算推荐（100,000 英镑）</w:t>
      </w:r>
    </w:p>
    <w:p>
      <w:r>
        <w:t>最优方案：G1 3 辆。采购额 84,000 英镑，基准净现金 192,270 英镑，压力净现金 137,010 英镑。共 23 个可行方案。</w:t>
      </w:r>
    </w:p>
    <w:p>
      <w:r>
        <w:t>选择依据：G1 货运线凭借短循环（基准 60 天、压力 70 天）、高时间因子（242/238）和合理的单车采购额（28,000 英镑），在三辆配置下实现最高压力净现金。需求 1,600（压力 1,280）在 18 次（压力 15 次）年 trips 中可被充分利用。</w:t>
      </w:r>
    </w:p>
    <w:p>
      <w:r>
        <w:t>次优方案 1：C1 2 辆、G1 2 辆。采购额 100,000 英镑，基准净现金 196,916 英镑，压力净现金 126,766 英镑。该方案基准收益更高，但压力情景下净现金减少 10,244 英镑，因为 C1 煤炭线循环慢（90→100 天），压力情景损失更大。</w:t>
      </w:r>
    </w:p>
    <w:p>
      <w:pPr>
        <w:pStyle w:val="Heading1"/>
      </w:pPr>
      <w:r>
        <w:t>三、缩减预算推荐（70,000 英镑）</w:t>
      </w:r>
    </w:p>
    <w:p>
      <w:r>
        <w:t>最优方案：G1 2 辆。采购额 56,000 英镑，基准净现金 128,180 英镑，压力净现金 91,340 英镑。共 5 个可行方案。</w:t>
      </w:r>
    </w:p>
    <w:p>
      <w:r>
        <w:t>预算缩减后，最优方案从 G1×3 降为 G1×2，采购额降至 56,000 英镑（预算的 80%）。虽然压力净现金下降，但仍远高于 50,000 英镑的最低门槛，留有安全边际。</w:t>
      </w:r>
    </w:p>
    <w:p>
      <w:r>
        <w:t>次优方案 1：C1 1 辆、G1 1 辆、P1 1 辆。采购额 70,000 英镑，基准净现金 111,786 英镑，压力净现金 70,225 英镑。该方案用满预算，但净现金低于最优方案。</w:t>
      </w:r>
    </w:p>
    <w:p>
      <w:pPr>
        <w:pStyle w:val="Heading1"/>
      </w:pPr>
      <w:r>
        <w:t>四、预算缩减的量化影响</w:t>
      </w:r>
    </w:p>
    <w:p>
      <w:r>
        <w:t>预算从 100,000 降至 70,000 英镑，节省采购额 28,000 英镑，但压力净现金损失 45,670 英镑，保留比例 66.7%。可行方案从 23 个降至 5 个，选择空间大幅收窄。</w:t>
      </w:r>
    </w:p>
    <w:p>
      <w:r>
        <w:t>多投入的 28,000 英镑换来约 45,670 英镑的压力净现金提升，投入产出比约 1:1.63。从纯财务角度看，标准预算的边际收益为正，但需考虑工作室的风险偏好和现金流约束。</w:t>
      </w:r>
    </w:p>
    <w:p>
      <w:pPr>
        <w:pStyle w:val="Heading1"/>
      </w:pPr>
      <w:r>
        <w:t>五、继续评审所需的验证边界</w:t>
      </w:r>
    </w:p>
    <w:p>
      <w:pPr>
        <w:pStyle w:val="ListBullet"/>
      </w:pPr>
      <w:r>
        <w:t>本模型为有限规划原型，未模拟完整游戏引擎的货物衰减、极迟到惩罚等细节</w:t>
      </w:r>
    </w:p>
    <w:p>
      <w:pPr>
        <w:pStyle w:val="ListBullet"/>
      </w:pPr>
      <w:r>
        <w:t>需求为静态年度总量，未考虑季节波动、市场竞争或动态供需调整</w:t>
      </w:r>
    </w:p>
    <w:p>
      <w:pPr>
        <w:pStyle w:val="ListBullet"/>
      </w:pPr>
      <w:r>
        <w:t>压力情景为固定参数调整（需求-20%、老化+4、循环+10），未模拟极端市场冲击</w:t>
      </w:r>
    </w:p>
    <w:p>
      <w:pPr>
        <w:pStyle w:val="ListBullet"/>
      </w:pPr>
      <w:r>
        <w:t>exclusive_group 为硬约束，未评估跨组协同或路线替换的灵活性</w:t>
      </w:r>
    </w:p>
    <w:p>
      <w:pPr>
        <w:pStyle w:val="ListBullet"/>
      </w:pPr>
      <w:r>
        <w:t>仅优化首年净现金，未考虑多年投资回报、车辆折旧或技术进步</w:t>
      </w:r>
    </w:p>
    <w:p>
      <w:pPr>
        <w:pStyle w:val="ListBullet"/>
      </w:pPr>
      <w:r>
        <w:t>未评估车队扩展路径、路线网络效应或枢纽建设成本</w:t>
      </w:r>
    </w:p>
    <w:p>
      <w:pPr>
        <w:pStyle w:val="Heading1"/>
      </w:pPr>
      <w:r>
        <w:t>六、结论</w:t>
      </w:r>
    </w:p>
    <w:p>
      <w:r>
        <w:t>标准预算推荐 G1×3，压力情景下收益最优；缩减预算推荐 G1×2，在有限资源下保持稳健。两种方案均以 G1 货运为核心，验证了该路线的盈利能力。预算缩减导致可行方案减少 78%，但最优方案仍能满足最低净现金门槛。建议制作人在评审时重点关注压力情景下的现金流安全性，以及 G1 路线对单一路线依赖的风险。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