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激光切割机采购组合决策报告</w:t>
      </w:r>
    </w:p>
    <w:p>
      <w:pPr>
        <w:jc w:val="center"/>
      </w:pPr>
      <w:r>
        <w:rPr>
          <w:color w:val="555555"/>
          <w:sz w:val="28"/>
        </w:rPr>
        <w:t>供应链与财务联合项目 · 内部决策参考</w:t>
      </w:r>
    </w:p>
    <w:p>
      <w:pPr>
        <w:jc w:val="center"/>
      </w:pPr>
      <w:r>
        <w:rPr>
          <w:color w:val="888888"/>
          <w:sz w:val="22"/>
        </w:rPr>
        <w:t>报告日期：2024年5月20日</w:t>
      </w:r>
    </w:p>
    <w:p/>
    <w:p>
      <w:pPr>
        <w:pStyle w:val="Heading1"/>
      </w:pPr>
      <w:r>
        <w:t>数据来源声明</w:t>
      </w:r>
    </w:p>
    <w:p>
      <w:r>
        <w:rPr>
          <w:sz w:val="22"/>
        </w:rPr>
        <w:t>本报告所涉及的供应商报价、交期、维保条款及公司约束参数，</w:t>
      </w:r>
      <w:r>
        <w:rPr>
          <w:b/>
          <w:sz w:val="22"/>
        </w:rPr>
        <w:t>均为公司内部原创业务数据</w:t>
      </w:r>
      <w:r>
        <w:rPr>
          <w:sz w:val="22"/>
        </w:rPr>
        <w:t>，不代表任何外部机构（包括但不限于SBA等）发布的官方数据或行业标准。TCO计算口径参考了行业最佳实践关于资产购置的比较原则（参见采购成本研究摘述 procurement_research_note.md），但该材料仅提供商业比较的研究背景，不构成任何司法辖区的强制会计或税务规则。</w:t>
      </w:r>
    </w:p>
    <w:p>
      <w:pPr>
        <w:pStyle w:val="Heading1"/>
      </w:pPr>
      <w:r>
        <w:t>1. 项目背景与决策目标</w:t>
      </w:r>
    </w:p>
    <w:p>
      <w:r>
        <w:t>公司近期需紧急新增5台高精度激光切割机以扩充产能。由于年度资本支出（CAPEX）与运营支出（OPEX）预算收紧，且财务部对现金流占用有严格上限，需在以下硬约束下寻找最优采购/租赁组合方案：</w:t>
      </w:r>
    </w:p>
    <w:p>
      <w:pPr>
        <w:pStyle w:val="ListBullet"/>
      </w:pPr>
      <w:r>
        <w:t>总数量严格等于 5 台</w:t>
      </w:r>
    </w:p>
    <w:p>
      <w:pPr>
        <w:pStyle w:val="ListBullet"/>
      </w:pPr>
      <w:r>
        <w:t>单一供应商设备获取总数不超过 3 台（防范断供风险）</w:t>
      </w:r>
    </w:p>
    <w:p>
      <w:pPr>
        <w:pStyle w:val="ListBullet"/>
      </w:pPr>
      <w:r>
        <w:t>至少 2 台设备在 30 天内交付</w:t>
      </w:r>
    </w:p>
    <w:p>
      <w:pPr>
        <w:pStyle w:val="ListBullet"/>
      </w:pPr>
      <w:r>
        <w:t>其余设备最迟不超过 60 天交付</w:t>
      </w:r>
    </w:p>
    <w:p>
      <w:pPr>
        <w:pStyle w:val="ListBullet"/>
      </w:pPr>
      <w:r>
        <w:t>所有设备必须标配7×24小时现场维保支持</w:t>
      </w:r>
    </w:p>
    <w:p>
      <w:pPr>
        <w:pStyle w:val="ListBullet"/>
      </w:pPr>
      <w:r>
        <w:t>首年现金流支出不超过 8,500,000 元</w:t>
      </w:r>
    </w:p>
    <w:p>
      <w:r>
        <w:t>决策目标：在满足上述约束的前提下，最小化 3 年期总拥有成本（TCO）。TCO将购买/租赁费用及维保现金占用放在同一使用期间对比，体现全生命周期成本理念。</w:t>
      </w:r>
    </w:p>
    <w:p>
      <w:pPr>
        <w:pStyle w:val="Heading1"/>
      </w:pPr>
      <w:r>
        <w:t>2. 候选供应商概况</w:t>
      </w:r>
    </w:p>
    <w:p>
      <w:r>
        <w:t>以下为三家候选供应商的核心报价参数：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供应商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交期(天)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购买单价(元)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年度维保(元)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租赁首付(元)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年租金(元)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7×24支持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A - 锐锋精密装备（苏...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1,500,000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已含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B - 捷通激光科技（深...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1,800,000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需加购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C - 恒远数控设备（济...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1,200,000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需加购</w:t>
            </w:r>
          </w:p>
        </w:tc>
      </w:tr>
    </w:tbl>
    <w:p/>
    <w:p>
      <w:pPr>
        <w:pStyle w:val="Heading2"/>
      </w:pPr>
      <w:r>
        <w:t>2.1 年度维保费用明细</w:t>
      </w:r>
    </w:p>
    <w:p>
      <w:r>
        <w:rPr>
          <w:b/>
        </w:rPr>
        <w:t>供应商A：</w:t>
      </w:r>
      <w:r>
        <w:t>7×24维保已标配，年度维保费用 = 0 元</w:t>
      </w:r>
    </w:p>
    <w:p>
      <w:r>
        <w:rPr>
          <w:b/>
        </w:rPr>
        <w:t>供应商B：</w:t>
      </w:r>
      <w:r>
        <w:t>基础维保 0 元 + 7×24加购 150,000 元 = 150,000 元/年</w:t>
      </w:r>
    </w:p>
    <w:p>
      <w:r>
        <w:rPr>
          <w:b/>
        </w:rPr>
        <w:t>供应商C：</w:t>
      </w:r>
      <w:r>
        <w:t>基础维保 200,000 元 + 7×24加购 100,000 元 = 300,000 元/年</w:t>
      </w:r>
    </w:p>
    <w:p>
      <w:pPr>
        <w:pStyle w:val="Heading1"/>
      </w:pPr>
      <w:r>
        <w:t>3. TCO测算方法</w:t>
      </w:r>
    </w:p>
    <w:p>
      <w:r>
        <w:t>依据行业最佳实践，不能仅比较标价或月费，需将同一使用期间的费用及现金占用放在一起看。本报告采用静态TCO（不考虑折现），计算口径如下：</w:t>
      </w:r>
    </w:p>
    <w:p>
      <w:pPr>
        <w:pStyle w:val="Heading2"/>
      </w:pPr>
      <w:r>
        <w:t>3.1 购买模式</w:t>
      </w:r>
    </w:p>
    <w:p>
      <w:r>
        <w:t>首年现金流 = 购买全款 + 首年维保费用</w:t>
      </w:r>
    </w:p>
    <w:p>
      <w:r>
        <w:t>3年TCO = 购买全款 + 3 × 年度维保费用</w:t>
      </w:r>
    </w:p>
    <w:p>
      <w:pPr>
        <w:pStyle w:val="Heading2"/>
      </w:pPr>
      <w:r>
        <w:t>3.2 租赁模式</w:t>
      </w:r>
    </w:p>
    <w:p>
      <w:r>
        <w:t>首年现金流 = 租赁首付 + 首年租金 + 首年维保费用</w:t>
      </w:r>
    </w:p>
    <w:p>
      <w:r>
        <w:t>3年TCO = 租赁首付 + 3 × 年租金 + 3 × 年度维保费用</w:t>
      </w:r>
    </w:p>
    <w:p/>
    <w:p>
      <w:r>
        <w:rPr>
          <w:b/>
        </w:rPr>
        <w:t>精度保障：</w:t>
      </w:r>
      <w:r>
        <w:t>所有财务计算使用 Python decimal.Decimal 类型，避免二进制浮点数累积误差，金额精确到元。</w:t>
      </w:r>
    </w:p>
    <w:p>
      <w:pPr>
        <w:pStyle w:val="Heading1"/>
      </w:pPr>
      <w:r>
        <w:t>4. 各供应商单台TCO对比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供应商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模式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首年现金流(元)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3年TCO(元)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TCO差额(元)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购买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1,500,000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1,500,000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基准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租赁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1,500,000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基准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购买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1,950,000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2,250,000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租赁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1,000,000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2,200,000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-50,000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购买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1,500,000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2,100,000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-50,000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租赁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850,000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2,150,000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50,000</w:t>
            </w:r>
          </w:p>
        </w:tc>
      </w:tr>
    </w:tbl>
    <w:p/>
    <w:p>
      <w:r>
        <w:t>说明：TCO差额为本行模式与另一模式的差值（本行TCO - 另一模式TCO），正值表示本行模式TCO更高。</w:t>
      </w:r>
    </w:p>
    <w:p>
      <w:pPr>
        <w:pStyle w:val="Heading1"/>
      </w:pPr>
      <w:r>
        <w:t>5. 推荐方案</w:t>
      </w:r>
    </w:p>
    <w:p>
      <w:r>
        <w:t>经穷举搜索全部可行组合（共97个可行解），推荐最优方案的3年TCO为 8,900,000 元，首年现金流占用 4,100,000 元。</w:t>
      </w:r>
    </w:p>
    <w:p>
      <w:pPr>
        <w:pStyle w:val="Heading2"/>
      </w:pPr>
      <w:r>
        <w:t>5.1 方案明细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供应商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购买台数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租赁台数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合计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首年现金流(元)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3年TCO(元)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A - 锐锋精密装备（苏州）...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2,100,000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4,500,000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 - 捷通激光科技（深圳）...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2,000,000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4,400,000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合计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4,100,000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8,900,000</w:t>
            </w:r>
          </w:p>
        </w:tc>
      </w:tr>
    </w:tbl>
    <w:p>
      <w:pPr>
        <w:pStyle w:val="Heading1"/>
      </w:pPr>
      <w:r>
        <w:t>6. 约束满足验证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约束项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验证结果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约束要求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是否满足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总数量 = 5 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要求 =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供应商A总数 =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上限 =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供应商B总数 =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上限 =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快速交付（≤30天）设备数 = 2 台（来自供应商['B']）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要求 ≥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首年现金流 = 4,100,000 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上限 = 8,500,000 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</w:tr>
    </w:tbl>
    <w:p/>
    <w:p>
      <w:r>
        <w:rPr>
          <w:b/>
        </w:rPr>
        <w:t>所有硬约束均已满足。</w:t>
      </w:r>
    </w:p>
    <w:p>
      <w:pPr>
        <w:pStyle w:val="Heading1"/>
      </w:pPr>
      <w:r>
        <w:t>7. 备选方案与敏感性分析</w:t>
      </w:r>
    </w:p>
    <w:p>
      <w:pPr>
        <w:pStyle w:val="Heading2"/>
      </w:pPr>
      <w:r>
        <w:t>7.1 等价最优解</w:t>
      </w:r>
    </w:p>
    <w:p>
      <w:r>
        <w:t>存在 4 个等价最优方案（3年TCO均为 8,900,000 元），区别在于首年现金流占用不同：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A(买/租)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B(买/租)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C(买/租)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首年现金流(元)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方案1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0/3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0/2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0/0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4,100,000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方案2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1/2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0/2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0/0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4,900,000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方案3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2/1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0/2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0/0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5,700,000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方案4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3/0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0/2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0/0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6,500,000</w:t>
            </w:r>
          </w:p>
        </w:tc>
      </w:tr>
    </w:tbl>
    <w:p/>
    <w:p>
      <w:r>
        <w:t>决策建议：在等价最优方案中，若公司更关注首年现金流压力，应优先选择租赁比例更高的方案（首年现金流更低）；若更关注长期资产沉淀，可选择购买比例更高的方案。两种方案在3年总成本上完全一致，选择取决于公司的现金流状况与资产配置偏好。</w:t>
      </w:r>
    </w:p>
    <w:p>
      <w:pPr>
        <w:pStyle w:val="Heading2"/>
      </w:pPr>
      <w:r>
        <w:t>7.2 次优方案对比</w:t>
      </w:r>
    </w:p>
    <w:p>
      <w:r>
        <w:t>所有可行方案的3年TCO取值范围为 8,900,000 至 11,050,000 元。最优值 8,900,000 元，次优值 8,950,000 元，差额 50,000 元。</w:t>
      </w:r>
    </w:p>
    <w:p>
      <w:r>
        <w:t>次优方案代表（TCO最低且首年现金流最省的次优解）：</w:t>
      </w:r>
    </w:p>
    <w:p>
      <w:pPr>
        <w:pStyle w:val="ListBullet"/>
      </w:pPr>
      <w:r>
        <w:t xml:space="preserve">  供应商A: 购买 0 台, 租赁 3 台</w:t>
      </w:r>
    </w:p>
    <w:p>
      <w:pPr>
        <w:pStyle w:val="ListBullet"/>
      </w:pPr>
      <w:r>
        <w:t xml:space="preserve">  供应商B: 购买 1 台, 租赁 1 台</w:t>
      </w:r>
    </w:p>
    <w:p>
      <w:r>
        <w:t xml:space="preserve">  3年TCO: 8,950,000 元 | 首年现金流: 5,050,000 元</w:t>
      </w:r>
    </w:p>
    <w:p>
      <w:r>
        <w:t xml:space="preserve">  与最优方案相比，次优方案3年TCO增加 50,000 元。</w:t>
      </w:r>
    </w:p>
    <w:p>
      <w:pPr>
        <w:pStyle w:val="Heading2"/>
      </w:pPr>
      <w:r>
        <w:t>7.3 关键决策因素分析</w:t>
      </w:r>
    </w:p>
    <w:p>
      <w:r>
        <w:t>买/租决策的核心在于全生命周期成本的对比，以下逐一分析各供应商的选择逻辑：</w:t>
      </w:r>
    </w:p>
    <w:p/>
    <w:p>
      <w:r>
        <w:rPr>
          <w:b/>
        </w:rPr>
        <w:t>供应商B（捷通激光科技）：</w:t>
      </w:r>
    </w:p>
    <w:p>
      <w:pPr>
        <w:pStyle w:val="ListBullet"/>
      </w:pPr>
      <w:r>
        <w:t>租赁3年TCO（220万元/台）比购买（225万元/台）节省5万元/台。B是唯一满足30天快速交付要求的供应商，必须至少分配2台设备。由于租赁在TCO上更优，2台全部选租赁。同时租赁模式首年现金流更低（100万元/台 vs 195万元/台），有利于缓解预算压力。</w:t>
      </w:r>
    </w:p>
    <w:p>
      <w:r>
        <w:rPr>
          <w:b/>
        </w:rPr>
        <w:t>供应商A（锐锋精密装备）：</w:t>
      </w:r>
    </w:p>
    <w:p>
      <w:pPr>
        <w:pStyle w:val="ListBullet"/>
      </w:pPr>
      <w:r>
        <w:t>购买与租赁的3年TCO完全相同（均为150万元/台），但首年现金流差异显著——购买需150万元/台，租赁仅需70万元/台。A的3台设备无论选择购买还是租赁，TCO结果一致，但租赁方案首年现金流压力更小（总额410万元 vs 650万元）。最终选择取决于公司对短期现金流和长期资产持有的偏好。</w:t>
      </w:r>
    </w:p>
    <w:p>
      <w:r>
        <w:rPr>
          <w:b/>
        </w:rPr>
        <w:t>供应商C（恒远数控设备）：</w:t>
      </w:r>
    </w:p>
    <w:p>
      <w:pPr>
        <w:pStyle w:val="ListBullet"/>
      </w:pPr>
      <w:r>
        <w:t>虽然购买单价最低（120万元），但加上高额维保（30万元/年）后，3年TCO（210万元/台）远高于A（150万元/台），不具备成本优势，故不入选。这正体现了TCO分析的价值——不能仅看标价，必须把同一使用期间的全部费用放在一起比较。</w:t>
      </w:r>
    </w:p>
    <w:p>
      <w:pPr>
        <w:pStyle w:val="Heading1"/>
      </w:pPr>
      <w:r>
        <w:t>8. 结论与建议</w:t>
      </w:r>
    </w:p>
    <w:p>
      <w:r>
        <w:t>推荐方案的3年TCO为 8,900,000 元，首年现金流占用 4,100,000 元，远低于 8,500,000 元的预算上限，所有硬约束均已满足。</w:t>
      </w:r>
    </w:p>
    <w:p>
      <w:r>
        <w:t>建议：若公司当前现金流较为紧张，可优先选择租赁比例更高的等价最优方案，以降低首年资金压力（首年仅410万元）；若公司有闲置资金且希望长期持有资产，可选择购买比例更高的方案（首年650万元仍在预算范围内）。两种方案在3年总成本上完全一致，最终选择应结合公司整体资金安排与资产配置策略。</w:t>
      </w:r>
    </w:p>
    <w:p>
      <w:pPr>
        <w:pStyle w:val="Heading1"/>
      </w:pPr>
      <w:r>
        <w:t>附录：计算说明</w:t>
      </w:r>
    </w:p>
    <w:p>
      <w:r>
        <w:t>1. 本报告未考虑资金时间价值（折现率），采用静态TCO计算，因业务委托未提供公司加权平均资本成本（WACC）。</w:t>
      </w:r>
    </w:p>
    <w:p>
      <w:r>
        <w:t>2. 所有金额计算使用 Python decimal.Decimal 类型，避免二进制浮点数累积误差，结果精确到元。</w:t>
      </w:r>
    </w:p>
    <w:p>
      <w:r>
        <w:t>3. 求解方法为穷举法，遍历了所有满足约束的组合（共1000个候选组合，其中97个满足全部硬约束），确保找到全局最优解。</w:t>
      </w:r>
    </w:p>
    <w:p>
      <w:r>
        <w:t>4. 供应商数据为公司内部原创业务数据，不冒充任何外部机构发布的数据。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