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黑体" w:hAnsi="黑体" w:eastAsia="黑体"/>
          <w:b/>
          <w:sz w:val="44"/>
        </w:rPr>
        <w:t>致存量公司股东的沟通说明</w:t>
      </w:r>
    </w:p>
    <w:p>
      <w:pPr>
        <w:jc w:val="center"/>
      </w:pPr>
      <w:r>
        <w:rPr>
          <w:rFonts w:ascii="黑体" w:hAnsi="黑体" w:eastAsia="黑体"/>
          <w:color w:val="333333"/>
          <w:sz w:val="28"/>
        </w:rPr>
        <w:t>——关于新《公司法》及国务院第784号令下注册资本认缴期限调整的合规说明</w:t>
      </w:r>
    </w:p>
    <w:p>
      <w:pPr>
        <w:jc w:val="left"/>
      </w:pPr>
      <w:r>
        <w:rPr>
          <w:color w:val="666666"/>
          <w:sz w:val="20"/>
        </w:rPr>
        <w:t>文件编号：GF-FAC-2024-001</w:t>
        <w:br/>
      </w:r>
      <w:r>
        <w:rPr>
          <w:color w:val="666666"/>
          <w:sz w:val="20"/>
        </w:rPr>
        <w:t>编制日期：2024年8月15日</w:t>
        <w:br/>
      </w:r>
      <w:r>
        <w:rPr>
          <w:color w:val="666666"/>
          <w:sz w:val="20"/>
        </w:rPr>
        <w:t>密级：内部资料</w:t>
        <w:br/>
      </w:r>
      <w:r>
        <w:rPr>
          <w:b/>
          <w:color w:val="990000"/>
          <w:sz w:val="20"/>
        </w:rPr>
        <w:t>性质：内部合规建议，仅供集团及各公司股东参阅，不构成正式法律意见，不代表已获得登记机关的任何审批或许可。</w:t>
      </w:r>
    </w:p>
    <w:p/>
    <w:p>
      <w:pPr>
        <w:pStyle w:val="Heading1"/>
      </w:pPr>
      <w:r>
        <w:t>一、背景与法律依据</w:t>
      </w:r>
    </w:p>
    <w:p>
      <w:pPr>
        <w:ind w:firstLine="425"/>
      </w:pPr>
      <w:r>
        <w:rPr>
          <w:sz w:val="22"/>
        </w:rPr>
        <w:t>2023年12月29日，第十四届全国人大常委会第七次会议修订通过了《中华人民共和国公司法》（以下简称"新《公司法》"），自2024年7月1日起施行。新《公司法》</w:t>
      </w:r>
      <w:r>
        <w:rPr>
          <w:b/>
          <w:sz w:val="22"/>
        </w:rPr>
        <w:t>第四十七条</w:t>
      </w:r>
      <w:r>
        <w:rPr>
          <w:sz w:val="22"/>
        </w:rPr>
        <w:t>确立了有限责任公司股东认缴的出资额应自公司成立之日起</w:t>
      </w:r>
      <w:r>
        <w:rPr>
          <w:b/>
          <w:sz w:val="22"/>
        </w:rPr>
        <w:t>五年内缴足</w:t>
      </w:r>
      <w:r>
        <w:rPr>
          <w:sz w:val="22"/>
        </w:rPr>
        <w:t>的基本规则。</w:t>
      </w:r>
    </w:p>
    <w:p>
      <w:pPr>
        <w:ind w:firstLine="425"/>
      </w:pPr>
      <w:r>
        <w:rPr>
          <w:sz w:val="22"/>
        </w:rPr>
        <w:t>新《公司法》</w:t>
      </w:r>
      <w:r>
        <w:rPr>
          <w:b/>
          <w:sz w:val="22"/>
        </w:rPr>
        <w:t>第二百六十六条</w:t>
      </w:r>
      <w:r>
        <w:rPr>
          <w:sz w:val="22"/>
        </w:rPr>
        <w:t>进一步规定：本法施行前已登记设立的公司，出资期限超过本法规定的期限的，除法律、行政法规或者国务院另有规定外，应当逐步调整至本法规定的期限以内；对于出资期限、出资额明显异常的，公司登记机关可以依法要求其及时调整。具体实施办法由国务院规定。</w:t>
      </w:r>
    </w:p>
    <w:p>
      <w:pPr>
        <w:ind w:firstLine="425"/>
      </w:pPr>
      <w:r>
        <w:rPr>
          <w:sz w:val="22"/>
        </w:rPr>
        <w:t>根据上述授权，国务院于2024年7月1日公布施行</w:t>
      </w:r>
      <w:r>
        <w:rPr>
          <w:b/>
          <w:sz w:val="22"/>
        </w:rPr>
        <w:t>《国务院关于实施〈中华人民共和国公司法〉注册资本登记管理制度的规定》（国务院令第784号，以下简称"784号令"）</w:t>
      </w:r>
      <w:r>
        <w:rPr>
          <w:sz w:val="22"/>
        </w:rPr>
        <w:t>，对存量公司的出资期限调整作出了具体安排。</w:t>
      </w:r>
    </w:p>
    <w:p>
      <w:pPr>
        <w:ind w:firstLine="425"/>
      </w:pPr>
      <w:r>
        <w:rPr>
          <w:b/>
          <w:sz w:val="22"/>
        </w:rPr>
        <w:t>适用说明：</w:t>
      </w:r>
      <w:r>
        <w:rPr>
          <w:sz w:val="22"/>
        </w:rPr>
        <w:t>784号令第二条规定的过渡期规则，仅适用于</w:t>
      </w:r>
      <w:r>
        <w:rPr>
          <w:b/>
          <w:color w:val="990000"/>
          <w:sz w:val="22"/>
        </w:rPr>
        <w:t>2024年6月30日前登记设立的公司</w:t>
      </w:r>
      <w:r>
        <w:rPr>
          <w:sz w:val="22"/>
        </w:rPr>
        <w:t>。2024年7月1日及之后新设立的公司，直接适用新《公司法》第四十七条的五年缴足规则，不适用本说明所述的过渡期安排。本集团下属5家公司均在此适用范围之内。</w:t>
      </w:r>
    </w:p>
    <w:p>
      <w:pPr>
        <w:pStyle w:val="Heading1"/>
      </w:pPr>
      <w:r>
        <w:t>二、784号令核心规则概述</w:t>
      </w:r>
    </w:p>
    <w:p>
      <w:pPr>
        <w:pStyle w:val="Heading2"/>
      </w:pPr>
      <w:r>
        <w:t>（一）出资期限调整要求</w:t>
      </w:r>
    </w:p>
    <w:p>
      <w:pPr>
        <w:ind w:firstLine="425"/>
      </w:pPr>
      <w:r>
        <w:rPr>
          <w:sz w:val="22"/>
        </w:rPr>
        <w:t>根据784号令第二条第一款，2024年6月30日前登记设立的有限责任公司，若其</w:t>
      </w:r>
      <w:r>
        <w:rPr>
          <w:b/>
          <w:sz w:val="22"/>
        </w:rPr>
        <w:t>剩余认缴出资期限自2027年7月1日起超过5年</w:t>
      </w:r>
      <w:r>
        <w:rPr>
          <w:sz w:val="22"/>
        </w:rPr>
        <w:t>的，</w:t>
      </w:r>
      <w:r>
        <w:rPr>
          <w:b/>
          <w:sz w:val="22"/>
        </w:rPr>
        <w:t>应当在2027年6月30日前</w:t>
      </w:r>
      <w:r>
        <w:rPr>
          <w:sz w:val="22"/>
        </w:rPr>
        <w:t>将其剩余认缴出资期限调整至5年内，并记载于公司章程。股东应当在调整后的认缴出资期限内足额缴纳认缴的出资额。</w:t>
      </w:r>
    </w:p>
    <w:p>
      <w:pPr>
        <w:ind w:firstLine="425"/>
      </w:pPr>
      <w:r>
        <w:rPr>
          <w:b/>
          <w:color w:val="990000"/>
          <w:sz w:val="22"/>
        </w:rPr>
        <w:t>【重要提示】</w:t>
      </w:r>
      <w:r>
        <w:rPr>
          <w:sz w:val="22"/>
        </w:rPr>
        <w:t>上述要求调整的是"认缴出资期限"，即修改章程中约定的最晚缴付时间，使其不超过5年，</w:t>
      </w:r>
      <w:r>
        <w:rPr>
          <w:b/>
          <w:sz w:val="22"/>
        </w:rPr>
        <w:t>并非要求公司在2027年6月30日前完成实缴。</w:t>
      </w:r>
      <w:r>
        <w:rPr>
          <w:sz w:val="22"/>
        </w:rPr>
        <w:t>股东仍可在调整后的期限内（即最晚不超过原调整日起5年）分期或一次性缴足出资。</w:t>
      </w:r>
    </w:p>
    <w:p>
      <w:pPr>
        <w:pStyle w:val="Heading2"/>
      </w:pPr>
      <w:r>
        <w:t>（二）涉及国家利益或重大公共利益的豁免安排</w:t>
      </w:r>
    </w:p>
    <w:p>
      <w:pPr>
        <w:ind w:firstLine="425"/>
      </w:pPr>
      <w:r>
        <w:rPr>
          <w:sz w:val="22"/>
        </w:rPr>
        <w:t>根据784号令第二条第二款，公司生产经营涉及国家利益或者重大公共利益，需要维持原出资期限安排的，须满足以下</w:t>
      </w:r>
      <w:r>
        <w:rPr>
          <w:b/>
          <w:sz w:val="22"/>
        </w:rPr>
        <w:t>法定两步程序</w:t>
      </w:r>
      <w:r>
        <w:rPr>
          <w:sz w:val="22"/>
        </w:rPr>
        <w:t>：</w:t>
      </w:r>
    </w:p>
    <w:p>
      <w:pPr>
        <w:ind w:left="850"/>
      </w:pPr>
      <w:r>
        <w:rPr>
          <w:b/>
          <w:sz w:val="22"/>
        </w:rPr>
        <w:t>第一步：</w:t>
      </w:r>
      <w:r>
        <w:rPr>
          <w:sz w:val="22"/>
        </w:rPr>
        <w:t>由</w:t>
      </w:r>
      <w:r>
        <w:rPr>
          <w:b/>
          <w:sz w:val="22"/>
        </w:rPr>
        <w:t>国务院有关主管部门</w:t>
      </w:r>
      <w:r>
        <w:rPr>
          <w:sz w:val="22"/>
        </w:rPr>
        <w:t>或者</w:t>
      </w:r>
      <w:r>
        <w:rPr>
          <w:b/>
          <w:sz w:val="22"/>
        </w:rPr>
        <w:t>省级人民政府</w:t>
      </w:r>
      <w:r>
        <w:rPr>
          <w:sz w:val="22"/>
        </w:rPr>
        <w:t>就该公司涉及国家利益或重大公共利益的情况</w:t>
      </w:r>
      <w:r>
        <w:rPr>
          <w:b/>
          <w:sz w:val="22"/>
        </w:rPr>
        <w:t>"提出意见"</w:t>
      </w:r>
      <w:r>
        <w:rPr>
          <w:sz w:val="22"/>
        </w:rPr>
        <w:t>；</w:t>
      </w:r>
    </w:p>
    <w:p>
      <w:pPr>
        <w:ind w:left="850"/>
      </w:pPr>
      <w:r>
        <w:rPr>
          <w:b/>
          <w:sz w:val="22"/>
        </w:rPr>
        <w:t>第二步：</w:t>
      </w:r>
      <w:r>
        <w:rPr>
          <w:b/>
          <w:sz w:val="22"/>
        </w:rPr>
        <w:t>国务院市场监督管理部门</w:t>
      </w:r>
      <w:r>
        <w:rPr>
          <w:sz w:val="22"/>
        </w:rPr>
        <w:t>在收到上述意见后，可以</w:t>
      </w:r>
      <w:r>
        <w:rPr>
          <w:b/>
          <w:sz w:val="22"/>
        </w:rPr>
        <w:t>"同意"</w:t>
      </w:r>
      <w:r>
        <w:rPr>
          <w:sz w:val="22"/>
        </w:rPr>
        <w:t>该公司按原出资期限出资。</w:t>
      </w:r>
    </w:p>
    <w:p>
      <w:pPr>
        <w:ind w:firstLine="425"/>
      </w:pPr>
      <w:r>
        <w:rPr>
          <w:b/>
          <w:color w:val="990000"/>
          <w:sz w:val="22"/>
        </w:rPr>
        <w:t>【重要区分】</w:t>
      </w:r>
      <w:r>
        <w:rPr>
          <w:sz w:val="22"/>
        </w:rPr>
        <w:t>"提出意见"的主体是国务院有关主管部门或省级人民政府，"同意"的主体是国务院市场监督管理部门，二者系不同法定主体，不可混淆。获得"意见"不等于已获得最终"同意"，更不代表豁免已生效。</w:t>
      </w:r>
    </w:p>
    <w:p>
      <w:pPr>
        <w:pStyle w:val="Heading2"/>
      </w:pPr>
      <w:r>
        <w:t>（三）出资期限及出资额异常研判</w:t>
      </w:r>
    </w:p>
    <w:p>
      <w:pPr>
        <w:ind w:firstLine="425"/>
      </w:pPr>
      <w:r>
        <w:rPr>
          <w:sz w:val="22"/>
        </w:rPr>
        <w:t>根据784号令第三条，公司出资期限、注册资本明显异常的，公司登记机关可以结合公司的</w:t>
      </w:r>
      <w:r>
        <w:rPr>
          <w:b/>
          <w:sz w:val="22"/>
        </w:rPr>
        <w:t>经营范围、经营状况以及股东的出资能力、主营项目、资产规模</w:t>
      </w:r>
      <w:r>
        <w:rPr>
          <w:sz w:val="22"/>
        </w:rPr>
        <w:t>等因素进行研判。认定违背真实性、合理性原则的，可以依法要求其及时调整。</w:t>
      </w:r>
    </w:p>
    <w:p>
      <w:pPr>
        <w:pStyle w:val="Heading2"/>
      </w:pPr>
      <w:r>
        <w:t>（四）公示义务</w:t>
      </w:r>
    </w:p>
    <w:p>
      <w:pPr>
        <w:ind w:firstLine="425"/>
      </w:pPr>
      <w:r>
        <w:rPr>
          <w:sz w:val="22"/>
        </w:rPr>
        <w:t>根据784号令第四条，公司调整股东认缴和实缴的出资额、出资方式、出资期限的，应当自相关信息产生之日起</w:t>
      </w:r>
      <w:r>
        <w:rPr>
          <w:b/>
          <w:sz w:val="22"/>
        </w:rPr>
        <w:t>20个工作日内</w:t>
      </w:r>
      <w:r>
        <w:rPr>
          <w:sz w:val="22"/>
        </w:rPr>
        <w:t>通过</w:t>
      </w:r>
      <w:r>
        <w:rPr>
          <w:b/>
          <w:sz w:val="22"/>
        </w:rPr>
        <w:t>国家企业信用信息公示系统</w:t>
      </w:r>
      <w:r>
        <w:rPr>
          <w:sz w:val="22"/>
        </w:rPr>
        <w:t>向社会公示，并确保公示信息真实、准确、完整。</w:t>
      </w:r>
    </w:p>
    <w:p>
      <w:pPr>
        <w:pStyle w:val="Heading2"/>
      </w:pPr>
      <w:r>
        <w:t>（五）法律后果</w:t>
      </w:r>
    </w:p>
    <w:p>
      <w:pPr>
        <w:ind w:firstLine="425"/>
      </w:pPr>
      <w:r>
        <w:rPr>
          <w:b/>
          <w:sz w:val="22"/>
        </w:rPr>
        <w:t>1. 未按期调整的后果：</w:t>
      </w:r>
      <w:r>
        <w:rPr>
          <w:sz w:val="22"/>
        </w:rPr>
        <w:t>根据784号令第六条，公司未按照本规定调整出资期限、注册资本的，由公司登记机关责令改正；逾期未改正的，由公司登记机关在国家企业信用信息公示系统</w:t>
      </w:r>
      <w:r>
        <w:rPr>
          <w:b/>
          <w:sz w:val="22"/>
        </w:rPr>
        <w:t>作出特别标注并向社会公示</w:t>
      </w:r>
      <w:r>
        <w:rPr>
          <w:sz w:val="22"/>
        </w:rPr>
        <w:t>。</w:t>
      </w:r>
    </w:p>
    <w:p>
      <w:pPr>
        <w:ind w:firstLine="425"/>
      </w:pPr>
      <w:r>
        <w:rPr>
          <w:b/>
          <w:sz w:val="22"/>
        </w:rPr>
        <w:t>2. 经营异常名录公司的特别管理：</w:t>
      </w:r>
      <w:r>
        <w:rPr>
          <w:sz w:val="22"/>
        </w:rPr>
        <w:t>根据784号令第七条，公司通过其住所、经营场所无法联系被列入经营异常名录，出资期限、注册资本不符合本规定且无法调整的，公司登记机关对其</w:t>
      </w:r>
      <w:r>
        <w:rPr>
          <w:b/>
          <w:sz w:val="22"/>
        </w:rPr>
        <w:t>另册管理</w:t>
      </w:r>
      <w:r>
        <w:rPr>
          <w:sz w:val="22"/>
        </w:rPr>
        <w:t>，在国家企业信用信息公示系统作出特别标注并向社会公示。</w:t>
      </w:r>
    </w:p>
    <w:p>
      <w:pPr>
        <w:ind w:firstLine="425"/>
      </w:pPr>
      <w:r>
        <w:rPr>
          <w:b/>
          <w:sz w:val="22"/>
        </w:rPr>
        <w:t>3. 注销与公告：</w:t>
      </w:r>
      <w:r>
        <w:rPr>
          <w:sz w:val="22"/>
        </w:rPr>
        <w:t>根据784号令第八条，公司自被吊销营业执照、责令关闭或者被撤销之日起，满3年未向公司登记机关申请注销公司登记的，公司登记机关可以通过国家企业信用信息公示系统予以公告，公告期限不少于60日。公告期限届满后无异议的，公司登记机关可以注销公司登记。</w:t>
      </w:r>
    </w:p>
    <w:p>
      <w:pPr>
        <w:ind w:firstLine="425"/>
      </w:pPr>
      <w:r>
        <w:rPr>
          <w:b/>
          <w:sz w:val="22"/>
        </w:rPr>
        <w:t>4. 未实缴的处罚：</w:t>
      </w:r>
      <w:r>
        <w:rPr>
          <w:sz w:val="22"/>
        </w:rPr>
        <w:t>根据784号令第九条，公司的股东未按照本规定缴纳认缴的出资额，或者公司未依法公示有关信息的，依照</w:t>
      </w:r>
      <w:r>
        <w:rPr>
          <w:b/>
          <w:sz w:val="22"/>
        </w:rPr>
        <w:t>公司法及《企业信息公示暂行条例》</w:t>
      </w:r>
      <w:r>
        <w:rPr>
          <w:sz w:val="22"/>
        </w:rPr>
        <w:t>的有关规定予以处罚。</w:t>
      </w:r>
    </w:p>
    <w:p>
      <w:pPr>
        <w:pStyle w:val="Heading1"/>
      </w:pPr>
      <w:r>
        <w:t>三、各公司具体情况分析及合规建议</w:t>
      </w:r>
    </w:p>
    <w:p>
      <w:pPr>
        <w:pStyle w:val="Heading2"/>
      </w:pPr>
      <w:r>
        <w:t>（一）公司A：星汉科技（常规场景）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公司简称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星汉科技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成立日期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2020年1月1日（属于2024年6月30日前设立的存量公司）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原认缴出资期限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2040年1月1日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注册资本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5,000万元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特殊状态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适用规则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784号令第二条第一款</w:t>
            </w:r>
          </w:p>
        </w:tc>
      </w:tr>
    </w:tbl>
    <w:p>
      <w:pPr>
        <w:spacing w:before="120"/>
      </w:pPr>
      <w:r>
        <w:rPr>
          <w:b/>
          <w:sz w:val="22"/>
        </w:rPr>
        <w:t>分析与建议：</w:t>
      </w:r>
    </w:p>
    <w:p>
      <w:pPr>
        <w:ind w:firstLine="425"/>
      </w:pPr>
      <w:r>
        <w:rPr>
          <w:sz w:val="22"/>
        </w:rPr>
        <w:t>星汉科技原认缴出资期限为2040年1月1日，剩余认缴出资期限自2027年7月1日起算为12年6个月，远超5年。因此，星汉科技属于784号令第二条第一款规定的应当调整的存量公司。</w:t>
      </w:r>
    </w:p>
    <w:p>
      <w:pPr>
        <w:ind w:firstLine="425"/>
      </w:pPr>
      <w:r>
        <w:rPr>
          <w:b/>
          <w:sz w:val="22"/>
        </w:rPr>
        <w:t>法定调整节点：</w:t>
      </w:r>
      <w:r>
        <w:rPr>
          <w:sz w:val="22"/>
        </w:rPr>
        <w:t>应当在</w:t>
      </w:r>
      <w:r>
        <w:rPr>
          <w:b/>
          <w:sz w:val="22"/>
        </w:rPr>
        <w:t>2027年6月30日前</w:t>
      </w:r>
      <w:r>
        <w:rPr>
          <w:sz w:val="22"/>
        </w:rPr>
        <w:t>将剩余认缴出资期限调整至5年内并记载于公司章程。</w:t>
      </w:r>
    </w:p>
    <w:p>
      <w:pPr>
        <w:ind w:firstLine="425"/>
      </w:pPr>
      <w:r>
        <w:rPr>
          <w:b/>
          <w:sz w:val="22"/>
        </w:rPr>
        <w:t>调整后最晚实缴截止日：</w:t>
      </w:r>
      <w:r>
        <w:rPr>
          <w:sz w:val="22"/>
        </w:rPr>
        <w:t>若星汉科技于2027年6月30日完成调整，将剩余出资期限调整为自调整之日起5年，则调整后的最晚实缴截止日为</w:t>
      </w:r>
      <w:r>
        <w:rPr>
          <w:b/>
          <w:sz w:val="22"/>
        </w:rPr>
        <w:t>2032年6月30日</w:t>
      </w:r>
      <w:r>
        <w:rPr>
          <w:sz w:val="22"/>
        </w:rPr>
        <w:t>（即2027年7月1日起算5年）。</w:t>
      </w:r>
    </w:p>
    <w:p>
      <w:pPr>
        <w:ind w:firstLine="425"/>
      </w:pPr>
      <w:r>
        <w:rPr>
          <w:b/>
          <w:sz w:val="22"/>
        </w:rPr>
        <w:t>合规建议：</w:t>
      </w:r>
      <w:r>
        <w:rPr>
          <w:sz w:val="22"/>
        </w:rPr>
        <w:t>建议星汉科技尽早启动章程修改程序，召开股东会通过调整出资期限的决议，并在2027年6月30日前完成章程备案及公示。考虑到企业资金安排，可合理规划分期出资节奏，在调整后的5年期限内完成全部实缴。</w:t>
      </w:r>
    </w:p>
    <w:p>
      <w:pPr>
        <w:pStyle w:val="Heading2"/>
      </w:pPr>
      <w:r>
        <w:t>（二）公司B：寰宇重工（金额异常场景）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公司简称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寰宇重工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成立日期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2018年1月1日（属于2024年6月30日前设立的存量公司）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原认缴出资期限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2038年1月1日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注册资本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100,000万元（10亿元）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特殊状态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适用规则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784号令第二条第一款、第三条</w:t>
            </w:r>
          </w:p>
        </w:tc>
      </w:tr>
    </w:tbl>
    <w:p>
      <w:pPr>
        <w:spacing w:before="120"/>
      </w:pPr>
      <w:r>
        <w:rPr>
          <w:b/>
          <w:sz w:val="22"/>
        </w:rPr>
        <w:t>分析与建议：</w:t>
      </w:r>
    </w:p>
    <w:p>
      <w:pPr>
        <w:ind w:firstLine="425"/>
      </w:pPr>
      <w:r>
        <w:rPr>
          <w:sz w:val="22"/>
        </w:rPr>
        <w:t>寰宇重工原认缴出资期限为2038年1月1日，剩余认缴出资期限同样超过5年，须按784号令第二条第一款在2027年6月30日前调整。</w:t>
      </w:r>
    </w:p>
    <w:p>
      <w:pPr>
        <w:ind w:firstLine="425"/>
      </w:pPr>
      <w:r>
        <w:rPr>
          <w:b/>
          <w:color w:val="990000"/>
          <w:sz w:val="22"/>
        </w:rPr>
        <w:t>异常研判风险：</w:t>
      </w:r>
      <w:r>
        <w:rPr>
          <w:sz w:val="22"/>
        </w:rPr>
        <w:t>寰宇重工注册资本高达10亿元（人民币100,000万元），属于出资额显著偏高的情形。根据784号令第三条，公司登记机关可以结合公司的经营范围、经营状况以及股东的出资能力、主营项目、资产规模等因素进行研判。鉴于该公司注册资本金额巨大，</w:t>
      </w:r>
      <w:r>
        <w:rPr>
          <w:b/>
          <w:sz w:val="22"/>
        </w:rPr>
        <w:t>存在被公司登记机关认定为"出资额明显异常"并要求及时调整的风险</w:t>
      </w:r>
      <w:r>
        <w:rPr>
          <w:sz w:val="22"/>
        </w:rPr>
        <w:t>。</w:t>
      </w:r>
    </w:p>
    <w:p>
      <w:pPr>
        <w:ind w:firstLine="425"/>
      </w:pPr>
      <w:r>
        <w:rPr>
          <w:b/>
          <w:sz w:val="22"/>
        </w:rPr>
        <w:t>合规建议：</w:t>
      </w:r>
      <w:r>
        <w:rPr>
          <w:sz w:val="22"/>
        </w:rPr>
        <w:t>（1）建议寰宇重工一方面按常规路径在2027年6月30日前调整出资期限；（2）同时，股东应积极准备证明出资能力的相关材料（包括但不限于经审计的财务报表、资产评估报告、银行资金证明等），以应对登记机关可能启动的异常研判程序；（3）如经研判被要求调整注册资本金额，可考虑依法启动减资程序，将注册资本调整至与股东实际出资能力相匹配的合理水平。</w:t>
      </w:r>
    </w:p>
    <w:p>
      <w:pPr>
        <w:pStyle w:val="Heading2"/>
      </w:pPr>
      <w:r>
        <w:t>（三）公司C：远景地产（期限异常场景）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公司简称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远景地产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成立日期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2015年1月1日（属于2024年6月30日前设立的存量公司）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原认缴出资期限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2045年1月1日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注册资本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10,000万元（1亿元）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特殊状态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适用规则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784号令第二条第一款、第三条</w:t>
            </w:r>
          </w:p>
        </w:tc>
      </w:tr>
    </w:tbl>
    <w:p>
      <w:pPr>
        <w:spacing w:before="120"/>
      </w:pPr>
      <w:r>
        <w:rPr>
          <w:b/>
          <w:sz w:val="22"/>
        </w:rPr>
        <w:t>分析与建议：</w:t>
      </w:r>
    </w:p>
    <w:p>
      <w:pPr>
        <w:ind w:firstLine="425"/>
      </w:pPr>
      <w:r>
        <w:rPr>
          <w:sz w:val="22"/>
        </w:rPr>
        <w:t>远景地产原认缴出资期限为2045年1月1日，自公司成立之日起计算，认缴出资期限长达30年，属于认缴期限显著偏长的情形。</w:t>
      </w:r>
    </w:p>
    <w:p>
      <w:pPr>
        <w:ind w:firstLine="425"/>
      </w:pPr>
      <w:r>
        <w:rPr>
          <w:b/>
          <w:color w:val="990000"/>
          <w:sz w:val="22"/>
        </w:rPr>
        <w:t>异常研判风险：</w:t>
      </w:r>
      <w:r>
        <w:rPr>
          <w:sz w:val="22"/>
        </w:rPr>
        <w:t>远景地产的认缴出资期限自公司成立起算长达30年，属于出资期限明显偏长的情形。根据784号令第三条，公司登记机关可结合经营范围、经营状况、股东出资能力等因素进行研判。鉴于该公司的认缴出资期限显著超出正常商业安排，</w:t>
      </w:r>
      <w:r>
        <w:rPr>
          <w:b/>
          <w:sz w:val="22"/>
        </w:rPr>
        <w:t>存在被公司登记机关认定为"出资期限明显异常"并要求及时调整的风险</w:t>
      </w:r>
      <w:r>
        <w:rPr>
          <w:sz w:val="22"/>
        </w:rPr>
        <w:t>。</w:t>
      </w:r>
    </w:p>
    <w:p>
      <w:pPr>
        <w:ind w:firstLine="425"/>
      </w:pPr>
      <w:r>
        <w:rPr>
          <w:b/>
          <w:sz w:val="22"/>
        </w:rPr>
        <w:t>合规建议：</w:t>
      </w:r>
      <w:r>
        <w:rPr>
          <w:sz w:val="22"/>
        </w:rPr>
        <w:t>（1）建议远景地产按常规路径在2027年6月30日前调整出资期限至5年内；（2）股东应准备出资能力证明材料（经审计的财务报表、银行资金证明、不动产权属证明等），以应对可能的异常研判；（3）如公司实际经营不需要如此高的注册资本，可考虑同步启动减资程序，将注册资本和出资期限均调整至合理范围。</w:t>
      </w:r>
    </w:p>
    <w:p>
      <w:pPr>
        <w:pStyle w:val="Heading2"/>
      </w:pPr>
      <w:r>
        <w:t>（四）公司D：省基交投（公共利益豁免场景）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公司简称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省基交投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成立日期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2019年1月1日（属于2024年6月30日前设立的存量公司）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原认缴出资期限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2049年1月1日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注册资本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20,000万元（2亿元）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特殊状态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涉及省级重点基建项目，关系重大公共利益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适用规则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784号令第二条第二款</w:t>
            </w:r>
          </w:p>
        </w:tc>
      </w:tr>
    </w:tbl>
    <w:p>
      <w:pPr>
        <w:spacing w:before="120"/>
      </w:pPr>
      <w:r>
        <w:rPr>
          <w:b/>
          <w:sz w:val="22"/>
        </w:rPr>
        <w:t>分析与建议：</w:t>
      </w:r>
    </w:p>
    <w:p>
      <w:pPr>
        <w:ind w:firstLine="425"/>
      </w:pPr>
      <w:r>
        <w:rPr>
          <w:sz w:val="22"/>
        </w:rPr>
        <w:t>省基交投涉及省级重点基建项目，关系重大公共利益，原认缴出资期限至2049年1月1日，远超5年标准。鉴于该公司的特殊性质，存在申请豁免适用5年出资期限调整要求的可能性。</w:t>
      </w:r>
    </w:p>
    <w:p>
      <w:pPr>
        <w:ind w:firstLine="425"/>
      </w:pPr>
      <w:r>
        <w:rPr>
          <w:b/>
          <w:color w:val="000099"/>
          <w:sz w:val="22"/>
        </w:rPr>
        <w:t>豁免路径（法定两步程序）：</w:t>
      </w:r>
    </w:p>
    <w:p>
      <w:pPr>
        <w:ind w:left="850"/>
      </w:pPr>
      <w:r>
        <w:rPr>
          <w:b/>
          <w:sz w:val="22"/>
        </w:rPr>
        <w:t>第一步——提出意见：</w:t>
      </w:r>
      <w:r>
        <w:rPr>
          <w:sz w:val="22"/>
        </w:rPr>
        <w:t>需由</w:t>
      </w:r>
      <w:r>
        <w:rPr>
          <w:b/>
          <w:sz w:val="22"/>
        </w:rPr>
        <w:t>国务院有关主管部门</w:t>
      </w:r>
      <w:r>
        <w:rPr>
          <w:sz w:val="22"/>
        </w:rPr>
        <w:t>或</w:t>
      </w:r>
      <w:r>
        <w:rPr>
          <w:b/>
          <w:sz w:val="22"/>
        </w:rPr>
        <w:t>省级人民政府</w:t>
      </w:r>
      <w:r>
        <w:rPr>
          <w:sz w:val="22"/>
        </w:rPr>
        <w:t>就省基交投生产经营涉及重大公共利益的情况</w:t>
      </w:r>
      <w:r>
        <w:rPr>
          <w:b/>
          <w:sz w:val="22"/>
        </w:rPr>
        <w:t>"提出意见"</w:t>
      </w:r>
      <w:r>
        <w:rPr>
          <w:sz w:val="22"/>
        </w:rPr>
        <w:t>。该"意见"系前置条件，证明该公司确属涉及重大公共利益、需要维持原出资期限安排的特殊情形。</w:t>
      </w:r>
    </w:p>
    <w:p>
      <w:pPr>
        <w:ind w:left="850"/>
      </w:pPr>
      <w:r>
        <w:rPr>
          <w:b/>
          <w:sz w:val="22"/>
        </w:rPr>
        <w:t>第二步——同意：</w:t>
      </w:r>
      <w:r>
        <w:rPr>
          <w:sz w:val="22"/>
        </w:rPr>
        <w:t>在获得上述"意见"后，由</w:t>
      </w:r>
      <w:r>
        <w:rPr>
          <w:b/>
          <w:sz w:val="22"/>
        </w:rPr>
        <w:t>国务院市场监督管理部门</w:t>
      </w:r>
      <w:r>
        <w:rPr>
          <w:sz w:val="22"/>
        </w:rPr>
        <w:t>审查并可以</w:t>
      </w:r>
      <w:r>
        <w:rPr>
          <w:b/>
          <w:sz w:val="22"/>
        </w:rPr>
        <w:t>"同意"</w:t>
      </w:r>
      <w:r>
        <w:rPr>
          <w:sz w:val="22"/>
        </w:rPr>
        <w:t>省基交投按原出资期限出资。</w:t>
      </w:r>
    </w:p>
    <w:p>
      <w:pPr>
        <w:ind w:firstLine="425"/>
      </w:pPr>
      <w:r>
        <w:rPr>
          <w:b/>
          <w:color w:val="990000"/>
          <w:sz w:val="22"/>
        </w:rPr>
        <w:t>【特别提示】</w:t>
      </w:r>
      <w:r>
        <w:rPr>
          <w:sz w:val="22"/>
        </w:rPr>
        <w:t>上述两步程序缺一不可。省级人民政府或国务院有关主管部门"提出意见"仅为前置环节，并不等同于最终批准。最终的"同意"权在国务院市场监督管理部门。本说明出具之日，尚未启动任何上述程序，亦未获得任何部门的意见或同意。</w:t>
      </w:r>
    </w:p>
    <w:p>
      <w:pPr>
        <w:ind w:firstLine="425"/>
      </w:pPr>
      <w:r>
        <w:rPr>
          <w:b/>
          <w:sz w:val="22"/>
        </w:rPr>
        <w:t>合规建议：</w:t>
      </w:r>
      <w:r>
        <w:rPr>
          <w:sz w:val="22"/>
        </w:rPr>
        <w:t>（1）建议省基交投立即着手准备向省级人民政府（或国务院有关主管部门）申请"提出意见"所需的支撑材料，包括项目立项批复文件、省级重点工程认定文件、公共利益说明报告等；（2）在获得"意见"后，及时向国务院市场监督管理部门提交"同意"申请；（3）在上述豁免程序完成前，建议同步做好按常规路径调整出资期限的预案，以应对豁免申请未能及时获批的情形。</w:t>
      </w:r>
    </w:p>
    <w:p>
      <w:pPr>
        <w:pStyle w:val="Heading2"/>
      </w:pPr>
      <w:r>
        <w:t>（五）公司E：空壳商贸（经营异常名录场景）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公司简称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空壳商贸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成立日期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2017年1月1日（属于2024年6月30日前设立的存量公司）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原认缴出资期限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2037年1月1日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注册资本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5,000万元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特殊状态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已通过住所、经营场所无法联系被列入经营异常名录，且出资期限不符合规定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适用规则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784号令第七条、第八条</w:t>
            </w:r>
          </w:p>
        </w:tc>
      </w:tr>
    </w:tbl>
    <w:p>
      <w:pPr>
        <w:spacing w:before="120"/>
      </w:pPr>
      <w:r>
        <w:rPr>
          <w:b/>
          <w:sz w:val="22"/>
        </w:rPr>
        <w:t>分析与建议：</w:t>
      </w:r>
    </w:p>
    <w:p>
      <w:pPr>
        <w:ind w:firstLine="425"/>
      </w:pPr>
      <w:r>
        <w:rPr>
          <w:sz w:val="22"/>
        </w:rPr>
        <w:t>空壳商贸因通过住所、经营场所无法联系已被列入经营异常名录，且出资期限不符合784号令规定。该公司面临最为严峻的法律后果。</w:t>
      </w:r>
    </w:p>
    <w:p>
      <w:pPr>
        <w:ind w:firstLine="425"/>
      </w:pPr>
      <w:r>
        <w:rPr>
          <w:b/>
          <w:color w:val="990000"/>
          <w:sz w:val="22"/>
        </w:rPr>
        <w:t>法律后果（另册管理）：</w:t>
      </w:r>
      <w:r>
        <w:rPr>
          <w:sz w:val="22"/>
        </w:rPr>
        <w:t>根据784号令第七条，空壳商贸因被列入经营异常名录且出资期限不符合规定、无法调整的，公司登记机关将对其</w:t>
      </w:r>
      <w:r>
        <w:rPr>
          <w:b/>
          <w:sz w:val="22"/>
        </w:rPr>
        <w:t>另册管理</w:t>
      </w:r>
      <w:r>
        <w:rPr>
          <w:sz w:val="22"/>
        </w:rPr>
        <w:t>，在国家企业信用信息公示系统</w:t>
      </w:r>
      <w:r>
        <w:rPr>
          <w:b/>
          <w:sz w:val="22"/>
        </w:rPr>
        <w:t>作出特别标注并向社会公示</w:t>
      </w:r>
      <w:r>
        <w:rPr>
          <w:sz w:val="22"/>
        </w:rPr>
        <w:t>。这意味着该公司的信用状况将受到严重影响，可能在融资、招投标、合同签订等方面受到限制。</w:t>
      </w:r>
    </w:p>
    <w:p>
      <w:pPr>
        <w:ind w:firstLine="425"/>
      </w:pPr>
      <w:r>
        <w:rPr>
          <w:b/>
          <w:sz w:val="22"/>
        </w:rPr>
        <w:t>后续注销风险：</w:t>
      </w:r>
      <w:r>
        <w:rPr>
          <w:sz w:val="22"/>
        </w:rPr>
        <w:t>根据784号令第八条，若该公司自被吊销营业执照、责令关闭或被撤销之日起满3年未申请注销，登记机关可予以公告并强制注销。</w:t>
      </w:r>
    </w:p>
    <w:p>
      <w:pPr>
        <w:ind w:firstLine="425"/>
      </w:pPr>
      <w:r>
        <w:rPr>
          <w:b/>
          <w:sz w:val="22"/>
        </w:rPr>
        <w:t>应对策略（务实建议）：</w:t>
      </w:r>
    </w:p>
    <w:p>
      <w:pPr>
        <w:ind w:left="850"/>
      </w:pPr>
      <w:r>
        <w:rPr>
          <w:b/>
          <w:sz w:val="22"/>
        </w:rPr>
        <w:t>方案一（优先推荐）——解除异常状态后调整：</w:t>
      </w:r>
      <w:r>
        <w:rPr>
          <w:sz w:val="22"/>
        </w:rPr>
        <w:t>股东应首先解决公司失联问题，恢复有效住所或经营场所的联系，向登记机关申请移出经营异常名录。在恢复正常状态后，再按常规路径调整出资期限。</w:t>
      </w:r>
    </w:p>
    <w:p>
      <w:pPr>
        <w:ind w:left="850"/>
      </w:pPr>
      <w:r>
        <w:rPr>
          <w:b/>
          <w:sz w:val="22"/>
        </w:rPr>
        <w:t>方案二——启动注销程序：</w:t>
      </w:r>
      <w:r>
        <w:rPr>
          <w:sz w:val="22"/>
        </w:rPr>
        <w:t>若该股东已无实际经营意愿，或公司确无继续存续的必要，建议尽快启动注销程序（包括成立清算组、编制资产负债表及财产清单、通知债权人、办理税务注销等），避免因另册管理及强制注销带来更大的信用损失和法律风险。</w:t>
      </w:r>
    </w:p>
    <w:p>
      <w:pPr>
        <w:ind w:left="850"/>
      </w:pPr>
      <w:r>
        <w:rPr>
          <w:b/>
          <w:sz w:val="22"/>
        </w:rPr>
        <w:t>方案三——被动承受后果：</w:t>
      </w:r>
      <w:r>
        <w:rPr>
          <w:sz w:val="22"/>
        </w:rPr>
        <w:t>若既不解除异常也不主动注销，公司将面临另册管理、特别标注、信用受损，直至被公告注销的后果。此方案对公司及股东极为不利，不建议采用。</w:t>
      </w:r>
    </w:p>
    <w:p>
      <w:pPr>
        <w:pStyle w:val="Heading1"/>
      </w:pPr>
      <w:r>
        <w:t>四、合规行动时间表汇总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公司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场景类型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关键节点/截止日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优先行动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星汉科技</w:t>
              <w:br/>
              <w:t>（公司A）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常规调整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2027年6月30日前</w:t>
              <w:br/>
              <w:t>调整出资期限至5年内</w:t>
              <w:br/>
              <w:t>（最晚实缴：2032年6月30日）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修改章程、召开股东会</w:t>
              <w:br/>
              <w:t>完成章程备案及公示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寰宇重工</w:t>
              <w:br/>
              <w:t>（公司B）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金额异常</w:t>
              <w:br/>
              <w:t>+常规调整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2027年6月30日前</w:t>
              <w:br/>
              <w:t>调整出资期限</w:t>
              <w:br/>
              <w:t>（可能被要求调整注册资本）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准备出资能力证明材料</w:t>
              <w:br/>
              <w:t>预案减资程序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远景地产</w:t>
              <w:br/>
              <w:t>（公司C）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期限异常</w:t>
              <w:br/>
              <w:t>+常规调整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2027年6月30日前</w:t>
              <w:br/>
              <w:t>调整出资期限</w:t>
              <w:br/>
              <w:t>（可能被要求调整出资期限）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准备出资能力证明材料</w:t>
              <w:br/>
              <w:t>预案减资程序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省基交投</w:t>
              <w:br/>
              <w:t>（公司D）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公共利益</w:t>
              <w:br/>
              <w:t>豁免申请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豁免程序无固定截止日</w:t>
              <w:br/>
              <w:t>（但建议尽早启动）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准备向省级人民政府/</w:t>
              <w:br/>
              <w:t>国务院主管部门申请</w:t>
              <w:br/>
              <w:t>"提出意见"的材料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空壳商贸</w:t>
              <w:br/>
              <w:t>（公司E）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经营异常</w:t>
              <w:br/>
              <w:t>名录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面临另册管理及</w:t>
              <w:br/>
              <w:t>特别标注风险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优先解除异常状态</w:t>
              <w:br/>
              <w:t>或启动注销程序</w:t>
            </w:r>
          </w:p>
        </w:tc>
      </w:tr>
    </w:tbl>
    <w:p>
      <w:pPr>
        <w:pStyle w:val="Heading1"/>
      </w:pPr>
      <w:r>
        <w:t>五、声明与免责</w:t>
      </w:r>
    </w:p>
    <w:p>
      <w:pPr>
        <w:ind w:firstLine="425"/>
      </w:pPr>
      <w:r>
        <w:rPr>
          <w:sz w:val="22"/>
        </w:rPr>
        <w:t>1. 本说明系集团法务合规组根据现行有效的《中华人民共和国公司法》（2023年修订，2024年7月1日施行）及《国务院关于实施〈中华人民共和国公司法〉注册资本登记管理制度的规定》（国务院令第784号，2024年7月1日施行）编制的</w:t>
      </w:r>
      <w:r>
        <w:rPr>
          <w:b/>
          <w:sz w:val="22"/>
        </w:rPr>
        <w:t>内部合规建议</w:t>
      </w:r>
      <w:r>
        <w:rPr>
          <w:sz w:val="22"/>
        </w:rPr>
        <w:t>，仅供集团及各公司股东参阅，</w:t>
      </w:r>
      <w:r>
        <w:rPr>
          <w:b/>
          <w:sz w:val="22"/>
        </w:rPr>
        <w:t>不构成正式法律意见</w:t>
      </w:r>
      <w:r>
        <w:rPr>
          <w:sz w:val="22"/>
        </w:rPr>
        <w:t>。</w:t>
      </w:r>
    </w:p>
    <w:p>
      <w:pPr>
        <w:ind w:firstLine="425"/>
      </w:pPr>
      <w:r>
        <w:rPr>
          <w:sz w:val="22"/>
        </w:rPr>
        <w:t>2. 本说明所引用的法律依据均为截至2024年8月15日现行有效的法律法规条文。后续如有新的实施细则、操作指南或地方性规定出台，可能会对具体操作产生影响，届时需另行评估。</w:t>
      </w:r>
    </w:p>
    <w:p>
      <w:pPr>
        <w:ind w:firstLine="425"/>
      </w:pPr>
      <w:r>
        <w:rPr>
          <w:sz w:val="22"/>
        </w:rPr>
        <w:t xml:space="preserve">3. </w:t>
      </w:r>
      <w:r>
        <w:rPr>
          <w:b/>
          <w:sz w:val="22"/>
        </w:rPr>
        <w:t>本说明不代表已获得任何登记机关的审批、许可或确认</w:t>
      </w:r>
      <w:r>
        <w:rPr>
          <w:sz w:val="22"/>
        </w:rPr>
        <w:t>，亦未经外部律师正式签字背书。各公司在实施具体合规方案前，建议咨询专业法律顾问并结合当地登记机关的实际操作要求。</w:t>
      </w:r>
    </w:p>
    <w:p>
      <w:pPr>
        <w:ind w:firstLine="425"/>
      </w:pPr>
      <w:r>
        <w:rPr>
          <w:sz w:val="22"/>
        </w:rPr>
        <w:t>4. 各公司股东应充分认识到，按时完成出资期限调整是法定义务，逾期未调整将面临责令改正、特别标注等法律后果。建议各公司高度重视，及时行动。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