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股东会议待补证清单</w:t>
      </w:r>
    </w:p>
    <w:p>
      <w:pPr>
        <w:jc w:val="center"/>
      </w:pPr>
      <w:r>
        <w:rPr>
          <w:rFonts w:ascii="黑体" w:hAnsi="黑体" w:eastAsia="黑体"/>
          <w:color w:val="333333"/>
          <w:sz w:val="28"/>
        </w:rPr>
        <w:t>——各存量公司股东为完成合规调整需补充提供的证明材料</w:t>
      </w:r>
    </w:p>
    <w:p>
      <w:r>
        <w:rPr>
          <w:color w:val="666666"/>
          <w:sz w:val="20"/>
        </w:rPr>
        <w:t>文件编号：GF-FAC-2024-002</w:t>
        <w:br/>
      </w:r>
      <w:r>
        <w:rPr>
          <w:color w:val="666666"/>
          <w:sz w:val="20"/>
        </w:rPr>
        <w:t>编制日期：2024年8月15日</w:t>
        <w:br/>
      </w:r>
      <w:r>
        <w:rPr>
          <w:color w:val="666666"/>
          <w:sz w:val="20"/>
        </w:rPr>
        <w:t>性质：内部工作文件，配合股东会议使用</w:t>
      </w:r>
    </w:p>
    <w:p/>
    <w:p>
      <w:pPr>
        <w:ind w:firstLine="425"/>
      </w:pPr>
      <w:r>
        <w:rPr>
          <w:sz w:val="22"/>
        </w:rPr>
        <w:t>根据《中华人民共和国公司法》及《国务院关于实施〈中华人民共和国公司法〉注册资本登记管理制度的规定》（国务院令第784号）的要求，集团下属5家存量有限责任公司须在法定期限内完成出资期限调整。为配合各公司股东完成相关合规工作，现将各公司股东需补充提供的证明材料分类列示如下。</w:t>
      </w:r>
    </w:p>
    <w:p>
      <w:pPr>
        <w:ind w:firstLine="425"/>
      </w:pPr>
      <w:r>
        <w:rPr>
          <w:b/>
        </w:rPr>
        <w:t>说明：</w:t>
      </w:r>
      <w:r>
        <w:t>以下清单系根据各公司不同情形分别列示，各公司应按其适用场景提供对应材料。标注"★"的为关键必备材料，标注"☆"的为建议性补充材料。</w:t>
      </w:r>
    </w:p>
    <w:p>
      <w:pPr>
        <w:pStyle w:val="Heading1"/>
      </w:pPr>
      <w:r>
        <w:t>一、公司A：星汉科技（常规调整场景）</w:t>
      </w:r>
    </w:p>
    <w:p>
      <w:pPr>
        <w:ind w:firstLine="425"/>
      </w:pPr>
      <w:r>
        <w:rPr>
          <w:sz w:val="22"/>
        </w:rPr>
        <w:t>适用情形：出资期限需调整至5年内，无异常研判或豁免情形。</w:t>
      </w:r>
    </w:p>
    <w:p>
      <w:pPr>
        <w:pStyle w:val="Heading2"/>
      </w:pPr>
      <w:r>
        <w:t>股东需提供的材料：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材料名称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说明/要求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修改后的公司章程（草案）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将认缴出资期限调整至5年内（即不晚于2032年6月30日），明确各股东的出资额、出资方式及出资期限。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股东会决议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经代表三分之二以上表决权的股东通过，内容包括：同意修改公司章程中的出资期限条款；授权法定代表人办理章程备案手续。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章程备案申请书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向公司登记机关提交的章程备案申请材料。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股东出资计划表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列明各股东在各年度的出资金额及时间安排，体现合理的分期出资计划。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国家企业信用信息公示系统公示截图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完成章程备案后20个工作日内，在公示系统完成出资期限调整信息公示的证明材料。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律师合规审查意见（建议性）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建议聘请外部律师对章程修改及调整方案的合规性出具审查意见。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财务顾问意见（建议性）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就分期出资计划的可行性及对公司现金流的影响提供专业意见。</w:t>
            </w:r>
          </w:p>
        </w:tc>
      </w:tr>
    </w:tbl>
    <w:p>
      <w:pPr>
        <w:pStyle w:val="Heading1"/>
      </w:pPr>
      <w:r>
        <w:t>二、公司B：寰宇重工（金额异常场景）</w:t>
      </w:r>
    </w:p>
    <w:p>
      <w:pPr>
        <w:ind w:firstLine="425"/>
      </w:pPr>
      <w:r>
        <w:rPr>
          <w:sz w:val="22"/>
        </w:rPr>
        <w:t>适用情形：出资期限需调整，且因注册资本达10亿元可能面临"出资额明显异常"研判。</w:t>
      </w:r>
    </w:p>
    <w:p>
      <w:pPr>
        <w:pStyle w:val="Heading2"/>
      </w:pPr>
      <w:r>
        <w:t>股东需提供的材料：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材料名称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说明/要求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修改后的公司章程（草案）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同公司A，将出资期限调整至5年内。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股东会决议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同公司A。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股东出资能力证明——经审计的财务报表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各股东近三年经审计的年度财务报表（资产负债表、利润表、现金流量表），以证明股东具备与认缴出资额相匹配的出资能力。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股东出资能力证明——银行资金证明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各股东开具的银行存款证明或授信额度证明，金额应能合理覆盖其认缴出资额。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资产评估报告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由具备资质的评估机构出具的股东资产价值评估报告，包括但不限于不动产、股权、知识产权等资产的价值评估。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公司经营状况说明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公司近三年的经营情况报告，包括营业收入、利润、纳税情况等，证明10亿元注册资本与公司的经营范围、经营状况相匹配。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减资预案（备选方案）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如经研判被要求调整注册资本，需提前准备减资方案，包括：减资决议草案、资产负债表及财产清单、债权人通知方案、公告文本等。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主营业务及行业分析报告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说明公司主营业务的行业特点、资金需求特征，论证10亿元注册资本的商业合理性。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历史股东出资凭证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已实缴部分的验资报告、银行转账凭证等。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章程备案申请材料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同公司A。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公示证明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同公司A。</w:t>
            </w:r>
          </w:p>
        </w:tc>
      </w:tr>
    </w:tbl>
    <w:p>
      <w:pPr>
        <w:pStyle w:val="Heading1"/>
      </w:pPr>
      <w:r>
        <w:t>三、公司C：远景地产（期限异常场景）</w:t>
      </w:r>
    </w:p>
    <w:p>
      <w:pPr>
        <w:ind w:firstLine="425"/>
      </w:pPr>
      <w:r>
        <w:rPr>
          <w:sz w:val="22"/>
        </w:rPr>
        <w:t>适用情形：出资期限需调整，且因原认缴期限长达30年可能面临"出资期限明显异常"研判。</w:t>
      </w:r>
    </w:p>
    <w:p>
      <w:pPr>
        <w:pStyle w:val="Heading2"/>
      </w:pPr>
      <w:r>
        <w:t>股东需提供的材料：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材料名称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说明/要求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修改后的公司章程（草案）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将出资期限调整至合理范围（5年内），并同步评估是否需要调整注册资本金额。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股东会决议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经代表三分之二以上表决权的股东通过，内容包括：同意修改出资期限条款；如涉及减资，一并决议。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股东出资能力证明——财务报表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各股东近三年经审计的财务报表，证明股东具备合理的出资能力。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股东出资能力证明——资产证明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不动产权属证书、银行资金证明、股权投资凭证等，证明股东资产规模与认缴出资额相匹配。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公司经营情况说明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公司近三年的经营情况报告，包括已开发/在开发/待开发项目清单、营收情况等，证明调整后的出资期限与公司实际经营需要相适应。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原30年出资期限的商业合理性说明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书面说明当初设定30年出资期限的商业背景及原因，供登记机关研判时参考。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减资预案（如适用）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如同时启动减资程序，需准备：减资决议、资产负债表及财产清单、债权人通知及公告方案、债务担保或清偿方案。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历史股东出资凭证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已实缴部分的验资报告、银行转账凭证等。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章程备案申请材料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向登记机关提交的章程备案申请材料。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公示证明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完成调整后的公示截图。</w:t>
            </w:r>
          </w:p>
        </w:tc>
      </w:tr>
    </w:tbl>
    <w:p>
      <w:pPr>
        <w:pStyle w:val="Heading1"/>
      </w:pPr>
      <w:r>
        <w:t>四、公司D：省基交投（公共利益豁免场景）</w:t>
      </w:r>
    </w:p>
    <w:p>
      <w:pPr>
        <w:ind w:firstLine="425"/>
      </w:pPr>
      <w:r>
        <w:rPr>
          <w:sz w:val="22"/>
        </w:rPr>
        <w:t>适用情形：涉及省级重点基建项目，关系重大公共利益，拟申请按原出资期限出资的豁免安排。</w:t>
      </w:r>
    </w:p>
    <w:p>
      <w:pPr>
        <w:pStyle w:val="Heading2"/>
      </w:pPr>
      <w:r>
        <w:t>第一阶段材料——申请"提出意见"（向省级人民政府或国务院有关主管部门）：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材料名称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说明/要求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豁免申请报告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正式行文，详细说明公司生产经营涉及国家利益或重大公共利益的具体情况，请求省级人民政府（或国务院有关主管部门）提出意见。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省级重点基建项目立项批复文件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国家发改委或省级发改委的项目立项核准/批复文件，证明该项目属于省级以上重点工程。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公共利益说明报告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详细说明该项目对区域经济发展、社会民生、基础设施建设的重大意义，论证维持原出资期限安排的必要性。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项目投资计划及资金安排方案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说明项目总投资规模、资金来源、建设周期，证明按原出资期限安排符合项目建设实际需要。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公司章程（现行有效版）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包含原出资期限条款的公司章程。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政府相关部门支持函件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如有省级交通主管部门、发改部门等出具的支持性函件，可作为补充材料。</w:t>
            </w:r>
          </w:p>
        </w:tc>
      </w:tr>
    </w:tbl>
    <w:p>
      <w:pPr>
        <w:pStyle w:val="Heading2"/>
      </w:pPr>
      <w:r>
        <w:t>第二阶段材料——申请"同意"（向国务院市场监督管理部门）：</w:t>
      </w:r>
    </w:p>
    <w:p>
      <w:pPr>
        <w:ind w:firstLine="425"/>
      </w:pPr>
      <w:r>
        <w:rPr>
          <w:b/>
          <w:sz w:val="22"/>
        </w:rPr>
        <w:t>前提条件：</w:t>
      </w:r>
      <w:r>
        <w:rPr>
          <w:sz w:val="22"/>
        </w:rPr>
        <w:t>须已取得省级人民政府或国务院有关主管部门"提出意见"的正式文件后，方可启动本阶段申请。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材料名称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说明/要求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省级人民政府/国务院有关主管部门"意见"正式文件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即第一阶段取得的"提出意见"的正式批复或函件原件。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豁免同意申请书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正式行文，向国务院市场监督管理部门申请同意公司按原出资期限出资，附上第一阶段取得的"意见"文件。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公司章程（现行有效版）及营业执照复印件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证明公司主体资格及原出资期限条款。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公司近三年经营及财务状况报告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供审查参考。</w:t>
            </w:r>
          </w:p>
        </w:tc>
      </w:tr>
    </w:tbl>
    <w:p>
      <w:pPr>
        <w:spacing w:before="120"/>
      </w:pPr>
      <w:r>
        <w:rPr>
          <w:b/>
          <w:sz w:val="22"/>
        </w:rPr>
        <w:t>★ 备选方案材料（如豁免未获批准）：</w:t>
      </w:r>
    </w:p>
    <w:p>
      <w:pPr>
        <w:ind w:left="567"/>
      </w:pPr>
      <w:r>
        <w:rPr>
          <w:sz w:val="22"/>
        </w:rPr>
        <w:t>如最终未能获得国务院市场监督管理部门的"同意"，则省基交投须按常规路径调整出资期限，届时需准备同公司A的章程备案材料（修改后的章程、股东会决议、章程备案申请书等）。</w:t>
      </w:r>
    </w:p>
    <w:p>
      <w:pPr>
        <w:pStyle w:val="Heading1"/>
      </w:pPr>
      <w:r>
        <w:t>五、公司E：空壳商贸（经营异常名录场景）</w:t>
      </w:r>
    </w:p>
    <w:p>
      <w:pPr>
        <w:ind w:firstLine="425"/>
      </w:pPr>
      <w:r>
        <w:rPr>
          <w:sz w:val="22"/>
        </w:rPr>
        <w:t>适用情形：已通过住所、经营场所无法联系被列入经营异常名录，且出资期限不符合规定。该公司面临另册管理及特别标注的严重后果。</w:t>
      </w:r>
    </w:p>
    <w:p>
      <w:pPr>
        <w:pStyle w:val="Heading2"/>
      </w:pPr>
      <w:r>
        <w:t>路径一：解除异常状态后调整（优先推荐）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材料名称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说明/要求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恢复联系的证明材料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新的住所/经营场所租赁合同或产权证明、实际办公场所照片、水电气缴费记录等，证明公司已恢复有效联系。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移出经营异常名录申请书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向公司登记机关提交的正式申请，说明已消除被列入异常名录的情形（即已恢复有效联系）。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法定代表人/联系人身份证明及联系方式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确保登记机关可以有效联系到公司相关人员。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修改后的公司章程（草案）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在解除异常后，将出资期限调整至5年内。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股东会决议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同意调整出资期限并修改章程。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公司实际经营状况说明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说明公司当前是否仍有实际经营活动。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☆ 注销备案材料（如后续不再经营）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如在解除异常后决定不再继续经营，需准备注销材料。</w:t>
            </w:r>
          </w:p>
        </w:tc>
      </w:tr>
    </w:tbl>
    <w:p>
      <w:pPr>
        <w:pStyle w:val="Heading2"/>
      </w:pPr>
      <w:r>
        <w:t>路径二：直接启动注销程序（如无继续存续意愿）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材料名称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说明/要求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股东会注销决议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经代表三分之二以上表决权的股东通过，决议解散公司并成立清算组。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清算组成立文件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清算组成员名单及任职资格证明。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资产负债表及财产清单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清算组编制的公司资产负债表及财产清单。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债权人通知及公告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书面通知已知债权人的证明材料，以及在报纸或国家企业信用信息公示系统上发布注销公告的证明。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税务注销证明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税务机关出具的清税证明。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清算报告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清算组编制的清算报告，经股东会确认。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★ 注销登记申请书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向登记机关提交的注销登记申请。</w:t>
            </w:r>
          </w:p>
        </w:tc>
      </w:tr>
    </w:tbl>
    <w:p>
      <w:pPr>
        <w:pStyle w:val="Heading1"/>
      </w:pPr>
      <w:r>
        <w:t>六、材料提交汇总及注意事项</w:t>
      </w:r>
    </w:p>
    <w:p>
      <w:pPr>
        <w:ind w:firstLine="425"/>
      </w:pPr>
      <w:r>
        <w:rPr>
          <w:b/>
          <w:sz w:val="22"/>
        </w:rPr>
        <w:t>1. 提交时限：</w:t>
      </w:r>
      <w:r>
        <w:rPr>
          <w:sz w:val="22"/>
        </w:rPr>
        <w:t>各公司股东应于2024年12月31日前完成上述材料的初步准备，并于2025年第一季度内完成章程备案等手续。涉及豁免申请的省基交投（公司D），应尽早启动第一阶段材料准备。空壳商贸（公司E）应立即启动解除异常或注销程序。</w:t>
      </w:r>
    </w:p>
    <w:p>
      <w:pPr>
        <w:ind w:firstLine="425"/>
      </w:pPr>
      <w:r>
        <w:rPr>
          <w:b/>
          <w:sz w:val="22"/>
        </w:rPr>
        <w:t>2. 材料形式要求：</w:t>
      </w:r>
      <w:r>
        <w:rPr>
          <w:sz w:val="22"/>
        </w:rPr>
        <w:t>所有书面材料应提供原件核验，留存复印件备档。财务报表应为经注册会计师审计的版本。政府批文应为加盖公章的正式文件。</w:t>
      </w:r>
    </w:p>
    <w:p>
      <w:pPr>
        <w:ind w:firstLine="425"/>
      </w:pPr>
      <w:r>
        <w:rPr>
          <w:b/>
          <w:sz w:val="22"/>
        </w:rPr>
        <w:t>3. 内部审批程序：</w:t>
      </w:r>
      <w:r>
        <w:rPr>
          <w:sz w:val="22"/>
        </w:rPr>
        <w:t>涉及章程修改及出资期限调整的，须经股东会特别决议（代表三分之二以上表决权的股东通过）。涉及减资的，还须履行债权人通知及公告程序。</w:t>
      </w:r>
    </w:p>
    <w:p>
      <w:pPr>
        <w:ind w:firstLine="425"/>
      </w:pPr>
      <w:r>
        <w:rPr>
          <w:b/>
          <w:sz w:val="22"/>
        </w:rPr>
        <w:t>4. 公示义务：</w:t>
      </w:r>
      <w:r>
        <w:rPr>
          <w:sz w:val="22"/>
        </w:rPr>
        <w:t>完成出资期限调整后，各公司应在20个工作日内通过国家企业信用信息公示系统向社会公示调整信息。</w:t>
      </w:r>
    </w:p>
    <w:p>
      <w:pPr>
        <w:ind w:firstLine="425"/>
      </w:pPr>
      <w:r>
        <w:rPr>
          <w:b/>
          <w:sz w:val="22"/>
        </w:rPr>
        <w:t>5. 专业支持：</w:t>
      </w:r>
      <w:r>
        <w:rPr>
          <w:sz w:val="22"/>
        </w:rPr>
        <w:t>建议各公司在准备上述材料过程中，聘请专业律师及会计师提供协助，确保材料的合规性和完整性。集团法务合规组将提供必要的协调和指导。</w:t>
      </w:r>
    </w:p>
    <w:p/>
    <w:p>
      <w:pPr>
        <w:ind w:firstLine="425"/>
      </w:pPr>
      <w:r>
        <w:rPr>
          <w:b/>
          <w:sz w:val="22"/>
        </w:rPr>
        <w:t>声明：</w:t>
      </w:r>
      <w:r>
        <w:rPr>
          <w:sz w:val="22"/>
        </w:rPr>
        <w:t>本清单系集团法务合规组编制的内部工作文件，配合股东会议使用。具体材料要求可能因各地登记机关的实际操作而有所差异，请以当地登记机关的最新要求为准。本清单不构成正式法律意见。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