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97D"/>
          <w:sz w:val="52"/>
        </w:rPr>
        <w:t>非律师前台咨询接待与材料流转手册</w:t>
      </w:r>
    </w:p>
    <w:p>
      <w:pPr>
        <w:jc w:val="center"/>
      </w:pPr>
      <w:r>
        <w:rPr>
          <w:color w:val="595659"/>
          <w:sz w:val="28"/>
        </w:rPr>
        <w:t>(版本 v1.0)</w:t>
      </w:r>
    </w:p>
    <w:p/>
    <w:p>
      <w:pPr>
        <w:jc w:val="center"/>
      </w:pPr>
      <w:r>
        <w:rPr>
          <w:sz w:val="22"/>
        </w:rPr>
        <w:t>适用对象：非法律专业前台接待人员</w:t>
        <w:br/>
        <w:t>编制日期：2023年10月25日</w:t>
        <w:br/>
        <w:t>密级：内部使用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第一章  手册说明与使用指南</w:t>
      </w:r>
    </w:p>
    <w:p>
      <w:pPr>
        <w:spacing w:after="80"/>
      </w:pPr>
      <w:r>
        <w:t>第二章  职责边界与红线</w:t>
      </w:r>
    </w:p>
    <w:p>
      <w:pPr>
        <w:spacing w:after="80"/>
      </w:pPr>
      <w:r>
        <w:t>第三章  基础概念：失信被执行人 vs 限制高消费</w:t>
      </w:r>
    </w:p>
    <w:p>
      <w:pPr>
        <w:spacing w:after="80"/>
      </w:pPr>
      <w:r>
        <w:t>第四章  法定规则要点</w:t>
      </w:r>
    </w:p>
    <w:p>
      <w:pPr>
        <w:spacing w:after="80"/>
      </w:pPr>
      <w:r>
        <w:t>第五章  材料接收规范</w:t>
      </w:r>
    </w:p>
    <w:p>
      <w:pPr>
        <w:spacing w:after="80"/>
      </w:pPr>
      <w:r>
        <w:t>第六章  升级流转机制</w:t>
      </w:r>
    </w:p>
    <w:p>
      <w:pPr>
        <w:spacing w:after="80"/>
      </w:pPr>
      <w:r>
        <w:t>第七章  保密与纪律要求</w:t>
      </w:r>
    </w:p>
    <w:p>
      <w:pPr>
        <w:spacing w:after="80"/>
      </w:pPr>
      <w:r>
        <w:t>附录  法定规则来源说明</w:t>
      </w:r>
    </w:p>
    <w:p>
      <w:r>
        <w:br w:type="page"/>
      </w:r>
    </w:p>
    <w:p>
      <w:pPr>
        <w:pStyle w:val="Heading1"/>
      </w:pPr>
      <w:r>
        <w:t>第一章  手册说明与使用指南</w:t>
      </w:r>
    </w:p>
    <w:p>
      <w:pPr>
        <w:pStyle w:val="Heading2"/>
      </w:pPr>
      <w:r>
        <w:t>1.1 手册目的</w:t>
      </w:r>
    </w:p>
    <w:p>
      <w:r>
        <w:t>本手册专为非法律专业的前台接待人员编制，旨在帮助您：</w:t>
        <w:br/>
        <w:t>• 明确自己“能说什么、不能说什么”的服务边界；</w:t>
        <w:br/>
        <w:t>• 掌握接收客户材料时的标准流程和核对要点；</w:t>
        <w:br/>
        <w:t>• 了解何时以及如何将问题升级转交给承办律师；</w:t>
        <w:br/>
        <w:t>• 在接待中有效安抚客户情绪，避免越权承诺。</w:t>
      </w:r>
    </w:p>
    <w:p>
      <w:pPr>
        <w:pStyle w:val="Heading2"/>
      </w:pPr>
      <w:r>
        <w:t>1.2 使用须知</w:t>
      </w:r>
    </w:p>
    <w:p>
      <w:r>
        <w:t>• 本手册中的法定规则要点提炼自最高人民法院现行规范，用于帮助您理解基本规则框架，但您不应就个案向客户做出任何确定性判断。</w:t>
        <w:br/>
        <w:t>• 遇到超出前台职责范围的问题，请立即按照第六章的升级流程处理。</w:t>
        <w:br/>
        <w:t>• 手册中所有话术仅供接待沟通参考，不构成对客户的正式法律意见。</w:t>
      </w:r>
    </w:p>
    <w:p>
      <w:pPr>
        <w:pStyle w:val="Heading2"/>
      </w:pPr>
      <w:r>
        <w:t>1.3 配套文件</w:t>
      </w:r>
    </w:p>
    <w:p>
      <w:r>
        <w:t>本手册配合《前台速查卡片与话术脚本》使用。速查卡片提供快速查阅的表格和清单，话术脚本提供典型场景的标准应答话术。两份文件应放在接待台随手可取的位置。</w:t>
      </w:r>
    </w:p>
    <w:p>
      <w:r>
        <w:br w:type="page"/>
      </w:r>
    </w:p>
    <w:p>
      <w:pPr>
        <w:pStyle w:val="Heading1"/>
      </w:pPr>
      <w:r>
        <w:t>第二章  职责边界与红线</w:t>
      </w:r>
    </w:p>
    <w:p>
      <w:pPr>
        <w:pStyle w:val="Heading2"/>
      </w:pPr>
      <w:r>
        <w:t>2.1 前台能做什么（职责范围）</w:t>
      </w:r>
    </w:p>
    <w:p>
      <w:r>
        <w:t>✅ 初步接待来访客户，了解来访目的（如：咨询失信名单、咨询限消措施、提交材料等）；</w:t>
      </w:r>
    </w:p>
    <w:p>
      <w:r>
        <w:t>✅ 安抚客户情绪，提供饮用水，引导至等候区；</w:t>
      </w:r>
    </w:p>
    <w:p>
      <w:r>
        <w:t>✅ 按照材料接收清单（见第五章）接收客户提交的材料，核对原件与复印件，完成系统录入；</w:t>
      </w:r>
    </w:p>
    <w:p>
      <w:r>
        <w:t>✅ 向客户介绍我们机构的服务流程和一般性时间安排（如“材料提交后，律师将在X个工作日内与您联系”）；</w:t>
      </w:r>
    </w:p>
    <w:p>
      <w:r>
        <w:t>✅ 告知客户法定的一般性期限信息（如法院审查期限为15日），但不就其个案做确定性推断；</w:t>
      </w:r>
    </w:p>
    <w:p>
      <w:r>
        <w:t>✅ 在遇到升级触发情况时，按照标准流程交接给律师或主管。</w:t>
      </w:r>
    </w:p>
    <w:p>
      <w:pPr>
        <w:pStyle w:val="Heading2"/>
      </w:pPr>
      <w:r>
        <w:t>2.2 前台不能做什么（禁忌红线）</w:t>
      </w:r>
    </w:p>
    <w:p>
      <w:r>
        <w:rPr>
          <w:color w:val="C00000"/>
        </w:rPr>
        <w:t>❌ 禁止就个案实体结果做出任何承诺或确定性结论。绝对不能说“一定能删除”“法院肯定会批”“包过”“保证解除”等话。</w:t>
      </w:r>
    </w:p>
    <w:p>
      <w:r>
        <w:rPr>
          <w:color w:val="C00000"/>
        </w:rPr>
        <w:t>❌ 禁止代客户填写法律申请书、纠正申请书、复议申请书等法律文书。</w:t>
      </w:r>
    </w:p>
    <w:p>
      <w:r>
        <w:rPr>
          <w:color w:val="C00000"/>
        </w:rPr>
        <w:t>❌ 禁止向客户透露法官内部通讯方式、案件未公开信息、法院内部审批倾向。</w:t>
      </w:r>
    </w:p>
    <w:p>
      <w:r>
        <w:rPr>
          <w:color w:val="C00000"/>
        </w:rPr>
        <w:t>❌ 禁止对客户的案件情况进行实质性法律分析（如“您这个情况符合第X条，应该能行”）。</w:t>
      </w:r>
    </w:p>
    <w:p>
      <w:r>
        <w:rPr>
          <w:color w:val="C00000"/>
        </w:rPr>
        <w:t>❌ 禁止在公共接待区域大声讨论客户的案件详情。</w:t>
      </w:r>
    </w:p>
    <w:p>
      <w:r>
        <w:rPr>
          <w:color w:val="C00000"/>
        </w:rPr>
        <w:t>❌ 禁止私自复印、拍照或带走客户提交的材料。</w:t>
      </w:r>
    </w:p>
    <w:p>
      <w:pPr>
        <w:pStyle w:val="Heading2"/>
      </w:pPr>
      <w:r>
        <w:t>2.3 标准免责声明</w:t>
      </w:r>
    </w:p>
    <w:p>
      <w:r>
        <w:t>在接待过程中，当涉及规则解释时，前台必须适时使用以下免责声明：</w:t>
      </w:r>
    </w:p>
    <w:p>
      <w:r>
        <w:rPr>
          <w:b/>
        </w:rPr>
        <w:t>【标准话术】</w:t>
      </w:r>
    </w:p>
    <w:p>
      <w:r>
        <w:t>“我刚才为您介绍的是相关法律规定的一般性框架，具体情况还需要承办律师根据您的材料进行个案分析。前台的解答仅供参考，不构成正式的法律意见。”</w:t>
      </w:r>
    </w:p>
    <w:p>
      <w:r>
        <w:rPr>
          <w:b/>
          <w:color w:val="C00000"/>
        </w:rPr>
        <w:t>⚠ 重要提示：每次接待涉及规则解释的咨询后，都应主动说出上述免责声明。</w:t>
      </w:r>
    </w:p>
    <w:p>
      <w:r>
        <w:br w:type="page"/>
      </w:r>
    </w:p>
    <w:p>
      <w:pPr>
        <w:pStyle w:val="Heading1"/>
      </w:pPr>
      <w:r>
        <w:t>第三章  基础概念：失信被执行人 vs 限制高消费</w:t>
      </w:r>
    </w:p>
    <w:p>
      <w:pPr>
        <w:pStyle w:val="Heading2"/>
      </w:pPr>
      <w:r>
        <w:t>3.1 什么是失信被执行人？</w:t>
      </w:r>
    </w:p>
    <w:p>
      <w:r>
        <w:t>通俗理解：就是老百姓常说的“老赖名单”。当一个人或企业欠了钱不还，而且存在特定的不诚信行为（如明明有钱却故意不还、伪造证据对抗执行等），法院就会把他/她的名字列入“失信被执行人名单”，向社会公开，并进行信用惩戒。</w:t>
        <w:br/>
        <w:br/>
        <w:t>后果：被纳入后会在政府采购、贷款融资、市场准入、资质认定等方面受到限制。</w:t>
      </w:r>
    </w:p>
    <w:p>
      <w:pPr>
        <w:pStyle w:val="Heading2"/>
      </w:pPr>
      <w:r>
        <w:t>3.2 什么是限制高消费（简称限消）？</w:t>
      </w:r>
    </w:p>
    <w:p>
      <w:r>
        <w:t>通俗理解：当一个人或企业没有按照法院要求还钱，法院可以发出“限制消费令”，禁止他/她进行一些高消费行为，比如坐飞机、住星级酒店、旅游度假、让孩子上高收费私立学校等。</w:t>
        <w:br/>
        <w:br/>
        <w:t>后果：日常生活和出行会受到明显限制，最直接的感受就是买不了飞机票、高铁票。</w:t>
      </w:r>
    </w:p>
    <w:p>
      <w:pPr>
        <w:pStyle w:val="Heading2"/>
      </w:pPr>
      <w:r>
        <w:t>3.3 两者的联系与区别（重要！）</w:t>
      </w:r>
    </w:p>
    <w:p>
      <w:r>
        <w:rPr>
          <w:b/>
        </w:rPr>
        <w:t>联系：</w:t>
      </w:r>
    </w:p>
    <w:p>
      <w:r>
        <w:t>• 被纳入失信被执行人名单的，法院必须同时对其采取限制高消费措施。（也就是说，上了失信名单 = 一定被限消）</w:t>
      </w:r>
    </w:p>
    <w:p>
      <w:r>
        <w:rPr>
          <w:b/>
        </w:rPr>
        <w:t>区别：</w:t>
      </w:r>
    </w:p>
    <w:p>
      <w:r>
        <w:t>• 被限制高消费的人不一定被纳入了失信名单。限消的门槛相对较低，只要没按时还钱就可能被限消；而纳入失信名单需要有特定的不诚信行为（如故意不还、逃避执行等）。</w:t>
        <w:br/>
        <w:t>• 失信名单有期限（一般2年），而限消没有固定解除期限，需要满足特定条件才能解除。</w:t>
        <w:br/>
        <w:t>• 未成年人不得被纳入失信名单，但如果未成年人是被执行人且未履行义务，仍可能被限消。</w:t>
      </w:r>
    </w:p>
    <w:p>
      <w:pPr>
        <w:pStyle w:val="Heading2"/>
      </w:pPr>
      <w:r>
        <w:t>3.4 对比速查表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311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失信被执行人</w:t>
            </w:r>
          </w:p>
        </w:tc>
        <w:tc>
          <w:tcPr>
            <w:tcW w:type="dxa" w:w="311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限制高消费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性质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信用惩戒措施（名单公示）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消费行为限制措施</w:t>
            </w:r>
          </w:p>
        </w:tc>
      </w:tr>
      <w:tr>
        <w:tc>
          <w:tcPr>
            <w:tcW w:type="dxa" w:w="1984"/>
            <w:shd w:fill="D9E2F3"/>
          </w:tcPr>
          <w:p>
            <w:r>
              <w:rPr>
                <w:sz w:val="18"/>
              </w:rPr>
              <w:t>触发条件</w:t>
            </w:r>
          </w:p>
        </w:tc>
        <w:tc>
          <w:tcPr>
            <w:tcW w:type="dxa" w:w="3118"/>
            <w:shd w:fill="D9E2F3"/>
          </w:tcPr>
          <w:p>
            <w:r>
              <w:rPr>
                <w:sz w:val="18"/>
              </w:rPr>
              <w:t>未履行义务 + 6种失信情形之一</w:t>
            </w:r>
          </w:p>
        </w:tc>
        <w:tc>
          <w:tcPr>
            <w:tcW w:type="dxa" w:w="3118"/>
            <w:shd w:fill="D9E2F3"/>
          </w:tcPr>
          <w:p>
            <w:r>
              <w:rPr>
                <w:sz w:val="18"/>
              </w:rPr>
              <w:t>未按期履行给付义务即可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是否必须同时适用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纳入失信 → 必须同时限消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被限消 ≠ 一定是失信被执行人</w:t>
            </w:r>
          </w:p>
        </w:tc>
      </w:tr>
      <w:tr>
        <w:tc>
          <w:tcPr>
            <w:tcW w:type="dxa" w:w="1984"/>
            <w:shd w:fill="D9E2F3"/>
          </w:tcPr>
          <w:p>
            <w:r>
              <w:rPr>
                <w:sz w:val="18"/>
              </w:rPr>
              <w:t>期限</w:t>
            </w:r>
          </w:p>
        </w:tc>
        <w:tc>
          <w:tcPr>
            <w:tcW w:type="dxa" w:w="3118"/>
            <w:shd w:fill="D9E2F3"/>
          </w:tcPr>
          <w:p>
            <w:r>
              <w:rPr>
                <w:sz w:val="18"/>
              </w:rPr>
              <w:t>一般2年，严重可延长1-3年</w:t>
            </w:r>
          </w:p>
        </w:tc>
        <w:tc>
          <w:tcPr>
            <w:tcW w:type="dxa" w:w="3118"/>
            <w:shd w:fill="D9E2F3"/>
          </w:tcPr>
          <w:p>
            <w:r>
              <w:rPr>
                <w:sz w:val="18"/>
              </w:rPr>
              <w:t>无固定解除期限，需满足条件解除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未成年人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不得纳入失信名单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如为被执行人且未履行义务，可被限消</w:t>
            </w:r>
          </w:p>
        </w:tc>
      </w:tr>
      <w:tr>
        <w:tc>
          <w:tcPr>
            <w:tcW w:type="dxa" w:w="1984"/>
            <w:shd w:fill="D9E2F3"/>
          </w:tcPr>
          <w:p>
            <w:r>
              <w:rPr>
                <w:sz w:val="18"/>
              </w:rPr>
              <w:t>主要后果</w:t>
            </w:r>
          </w:p>
        </w:tc>
        <w:tc>
          <w:tcPr>
            <w:tcW w:type="dxa" w:w="3118"/>
            <w:shd w:fill="D9E2F3"/>
          </w:tcPr>
          <w:p>
            <w:r>
              <w:rPr>
                <w:sz w:val="18"/>
              </w:rPr>
              <w:t>信用惩戒（贷款、招投标等受限）</w:t>
            </w:r>
          </w:p>
        </w:tc>
        <w:tc>
          <w:tcPr>
            <w:tcW w:type="dxa" w:w="3118"/>
            <w:shd w:fill="D9E2F3"/>
          </w:tcPr>
          <w:p>
            <w:r>
              <w:rPr>
                <w:sz w:val="18"/>
              </w:rPr>
              <w:t>出行、消费、子女教育等受限</w:t>
            </w:r>
          </w:p>
        </w:tc>
      </w:tr>
    </w:tbl>
    <w:p>
      <w:r>
        <w:br w:type="page"/>
      </w:r>
    </w:p>
    <w:p>
      <w:pPr>
        <w:pStyle w:val="Heading1"/>
      </w:pPr>
      <w:r>
        <w:t>第四章  法定规则要点</w:t>
      </w:r>
    </w:p>
    <w:p>
      <w:r>
        <w:t>本章提炼自最高人民法院现行规范（详见附录来源说明）。请您理解这些规则的基本框架，以便在接待时能向客户做一般性介绍，但切记不要将其直接套用到客户个案上。</w:t>
      </w:r>
    </w:p>
    <w:p>
      <w:pPr>
        <w:pStyle w:val="Heading2"/>
      </w:pPr>
      <w:r>
        <w:t>4.1 纳入失信被执行人名单的6种情形</w:t>
      </w:r>
    </w:p>
    <w:p>
      <w:r>
        <w:t>如果一个人/企业没有履行法院判决确定的义务，并且存在以下情况之一，法院应当将其纳入失信被执行人名单：</w:t>
      </w:r>
    </w:p>
    <w:p>
      <w:r>
        <w:t>（1）明明有能力还钱，但故意不还的；</w:t>
      </w:r>
    </w:p>
    <w:p>
      <w:r>
        <w:t>（2）用伪造证据、暴力、威胁等手段对抗法院执行的；</w:t>
      </w:r>
    </w:p>
    <w:p>
      <w:r>
        <w:t>（3）通过打假官司、假仲裁、或者偷偷转移/藏匿财产来逃避执行的；</w:t>
      </w:r>
    </w:p>
    <w:p>
      <w:r>
        <w:t>（4）不按规定如实报告自己的财产情况的（违反财产报告制度）；</w:t>
      </w:r>
    </w:p>
    <w:p>
      <w:r>
        <w:t>（5）不遵守法院发出的限制消费令的；</w:t>
      </w:r>
    </w:p>
    <w:p>
      <w:r>
        <w:t>（6）没有正当理由，拒不履行双方达成的执行和解协议的。</w:t>
      </w:r>
    </w:p>
    <w:p>
      <w:pPr>
        <w:pStyle w:val="Heading2"/>
      </w:pPr>
      <w:r>
        <w:t>4.2 失信名单的纳入期限</w:t>
      </w:r>
    </w:p>
    <w:p>
      <w:r>
        <w:t>• 一般期限：纳入失信名单的期限为2年。</w:t>
        <w:br/>
        <w:t>• 延长期限：如果用暴力、威胁手段对抗执行情节严重，或者有多种失信行为的，可以延长1至3年。</w:t>
        <w:br/>
        <w:t>• 特别注意：如果是因为“明明有钱却故意不还”（第1种情形）而被纳入失信的，不适用上述期限规定。</w:t>
      </w:r>
    </w:p>
    <w:p>
      <w:pPr>
        <w:pStyle w:val="Heading2"/>
      </w:pPr>
      <w:r>
        <w:t>4.3 可以提前删除失信信息的条件</w:t>
      </w:r>
    </w:p>
    <w:p>
      <w:r>
        <w:t>如果失信被执行人积极履行了法院判决的义务，或者主动纠正了自己的失信行为，法院可以决定提前删除失信信息。</w:t>
      </w:r>
    </w:p>
    <w:p>
      <w:pPr>
        <w:pStyle w:val="Heading2"/>
      </w:pPr>
      <w:r>
        <w:t>4.4 不得纳入失信名单的除外情形（4种）</w:t>
      </w:r>
    </w:p>
    <w:p>
      <w:r>
        <w:t>即使符合第1种情形（有能力不还），如果有以下情况之一，法院不得纳入失信名单：</w:t>
      </w:r>
    </w:p>
    <w:p>
      <w:r>
        <w:t>（1）已经提供了充分有效的担保的；</w:t>
      </w:r>
    </w:p>
    <w:p>
      <w:r>
        <w:t>（2）法院已经查封、扣押、冻结的财产足够偿还债务的；</w:t>
      </w:r>
    </w:p>
    <w:p>
      <w:r>
        <w:t>（3）按照约定应该由对方先履行义务，履行顺序在后的；</w:t>
      </w:r>
    </w:p>
    <w:p>
      <w:r>
        <w:t>（4）其他不属于“有能力却故意不还”的情况。</w:t>
      </w:r>
    </w:p>
    <w:p>
      <w:pPr>
        <w:pStyle w:val="Heading2"/>
      </w:pPr>
      <w:r>
        <w:t>4.5 未成年人特别保护</w:t>
      </w:r>
    </w:p>
    <w:p>
      <w:r>
        <w:t>⚠ 重点：被执行人为未成年人的，法院不得将其纳入失信被执行人名单。</w:t>
        <w:br/>
        <w:t>注意：这一保护仅限于失信名单，不意味着未成年人不会被采取限制高消费措施。</w:t>
      </w:r>
    </w:p>
    <w:p>
      <w:pPr>
        <w:pStyle w:val="Heading2"/>
      </w:pPr>
      <w:r>
        <w:t>4.6 失信信息应当删除的7种情形</w:t>
      </w:r>
    </w:p>
    <w:p>
      <w:r>
        <w:t>当出现以下情况之一时，法院应当在3个工作日内删除失信信息：</w:t>
      </w:r>
    </w:p>
    <w:p>
      <w:r>
        <w:t>（1）被执行人已经履行了全部义务，或者法院已经执行完毕的；</w:t>
      </w:r>
    </w:p>
    <w:p>
      <w:r>
        <w:t>（2）双方达成执行和解协议并且已经履行完毕的；</w:t>
      </w:r>
    </w:p>
    <w:p>
      <w:r>
        <w:t>（3）申请执行人书面申请删除失信信息，法院审查同意的；</w:t>
      </w:r>
    </w:p>
    <w:p>
      <w:r>
        <w:t>（4）终结本次执行程序后，通过网络查控系统查了两次以上都没发现可执行财产，而且申请执行人或其他人也没有提供有效财产线索的；</w:t>
      </w:r>
    </w:p>
    <w:p>
      <w:r>
        <w:t>（5）因为审判监督或破产程序，法院裁定中止执行的；</w:t>
      </w:r>
    </w:p>
    <w:p>
      <w:r>
        <w:t>（6）法院裁定不予执行的；</w:t>
      </w:r>
    </w:p>
    <w:p>
      <w:r>
        <w:t>（7）法院裁定终结执行的。</w:t>
      </w:r>
    </w:p>
    <w:p>
      <w:r>
        <w:br/>
        <w:t>补充说明：如果有纳入期限的，不适用上述提前删除规定。纳入期限届满后3个工作日内，法院应当删除失信信息。</w:t>
      </w:r>
    </w:p>
    <w:p>
      <w:pPr>
        <w:pStyle w:val="Heading2"/>
      </w:pPr>
      <w:r>
        <w:t>4.7 纠正失信信息的期限</w:t>
      </w:r>
    </w:p>
    <w:p>
      <w:r>
        <w:t>• 法院收到书面纠正申请后，应在15日内审查。</w:t>
        <w:br/>
        <w:t>• 理由成立的，3个工作日内纠正。</w:t>
        <w:br/>
        <w:t>• 理由不成立的，驳回。</w:t>
        <w:br/>
        <w:t>• 对驳回不服的，可在收到决定书后10日内向上一级法院申请复议。</w:t>
        <w:br/>
        <w:t>• 上一级法院应在收到复议申请后15日内作出决定。</w:t>
        <w:br/>
        <w:t>• 复议期间不停止原决定的执行。</w:t>
      </w:r>
    </w:p>
    <w:p>
      <w:pPr>
        <w:pStyle w:val="Heading2"/>
      </w:pPr>
      <w:r>
        <w:t>4.8 申请执行人申请纳入失信的审查期限</w:t>
      </w:r>
    </w:p>
    <w:p>
      <w:r>
        <w:t>申请执行人向法院申请将被执行人纳入失信名单的，法院应当自收到申请之日起15日内审查并作出决定。</w:t>
      </w:r>
    </w:p>
    <w:p>
      <w:pPr>
        <w:pStyle w:val="Heading2"/>
      </w:pPr>
      <w:r>
        <w:t>4.9 限制高消费的9项行为</w:t>
      </w:r>
    </w:p>
    <w:p>
      <w:r>
        <w:t>被采取限制消费措施后，不得有以下高消费及非生活和工作必需的消费行为：</w:t>
      </w:r>
    </w:p>
    <w:p>
      <w:r>
        <w:t>（1）乘坐交通工具时，选择飞机、列车软卧、轮船二等以上舱位；</w:t>
      </w:r>
    </w:p>
    <w:p>
      <w:r>
        <w:t>（2）在星级以上宾馆、酒店、夜总会、高尔夫球场等场所进行高消费；</w:t>
      </w:r>
    </w:p>
    <w:p>
      <w:r>
        <w:t>（3）购买不动产或者新建、扩建、高档装修房屋；</w:t>
      </w:r>
    </w:p>
    <w:p>
      <w:r>
        <w:t>（4）租赁高档写字楼、宾馆、公寓等场所办公；</w:t>
      </w:r>
    </w:p>
    <w:p>
      <w:r>
        <w:t>（5）购买非经营必需车辆；</w:t>
      </w:r>
    </w:p>
    <w:p>
      <w:r>
        <w:t>（6）旅游、度假；</w:t>
      </w:r>
    </w:p>
    <w:p>
      <w:r>
        <w:t>（7）子女就读高收费私立学校；</w:t>
      </w:r>
    </w:p>
    <w:p>
      <w:r>
        <w:t>（8）支付高额保费购买保险理财产品；</w:t>
      </w:r>
    </w:p>
    <w:p>
      <w:r>
        <w:t>（9）乘坐G字头动车组列车全部座位、其他动车组列车一等以上座位等其他非生活和工作必需的消费行为。</w:t>
      </w:r>
    </w:p>
    <w:p>
      <w:r>
        <w:rPr>
          <w:b/>
          <w:color w:val="C00000"/>
        </w:rPr>
        <w:t>⚠ 特别提醒（客户最关心的）：</w:t>
      </w:r>
    </w:p>
    <w:p>
      <w:r>
        <w:t>• G字头高铁（如G1、G2...）：所有座位都不能坐。</w:t>
        <w:br/>
        <w:t>• 其他动车组列车（如D字头、C字头）：一等座及以上不能坐，二等座可以。</w:t>
        <w:br/>
        <w:t>• 普通火车：软卧不能坐，硬座和硬卧可以。</w:t>
      </w:r>
    </w:p>
    <w:p>
      <w:pPr>
        <w:pStyle w:val="Heading2"/>
      </w:pPr>
      <w:r>
        <w:t>4.10 解除限制消费令的条件</w:t>
      </w:r>
    </w:p>
    <w:p>
      <w:r>
        <w:t>满足以下条件之一，可以解除限制消费令：</w:t>
        <w:br/>
        <w:t>（1）被执行人提供了确实有效的担保；</w:t>
        <w:br/>
        <w:t>（2）申请执行人同意解除；</w:t>
        <w:br/>
        <w:t>（3）被执行人已经履行完毕全部义务（法院应当及时解除）。</w:t>
        <w:br/>
        <w:br/>
        <w:t>另外，如果被限消的人因为生活或经营必需，确实需要进行被禁止的消费，可以向法院提出申请，经法院批准后方可进行。</w:t>
      </w:r>
    </w:p>
    <w:p>
      <w:pPr>
        <w:pStyle w:val="Heading2"/>
      </w:pPr>
      <w:r>
        <w:t>4.11 单位被执行人相关人员的限消规则</w:t>
      </w:r>
    </w:p>
    <w:p>
      <w:r>
        <w:t>如果被执行的是单位（如公司），被限消后，以下人员也不能进行限消行为：</w:t>
        <w:br/>
        <w:t>• 法定代表人</w:t>
        <w:br/>
        <w:t>• 主要负责人</w:t>
        <w:br/>
        <w:t>• 影响债务履行的直接责任人员</w:t>
        <w:br/>
        <w:t>• 实际控制人</w:t>
        <w:br/>
        <w:br/>
        <w:t>重要例外：上述人员如果因私消费（个人事务，不是公司业务），并且是用个人财产支付的，可以向执行法院提出申请。法院审查确认后，应当准许。</w:t>
      </w:r>
    </w:p>
    <w:p>
      <w:r>
        <w:br w:type="page"/>
      </w:r>
    </w:p>
    <w:p>
      <w:pPr>
        <w:pStyle w:val="Heading1"/>
      </w:pPr>
      <w:r>
        <w:t>第五章  材料接收规范</w:t>
      </w:r>
    </w:p>
    <w:p>
      <w:pPr>
        <w:pStyle w:val="Heading2"/>
      </w:pPr>
      <w:r>
        <w:t>5.1 材料接收总原则</w:t>
      </w:r>
    </w:p>
    <w:p>
      <w:r>
        <w:t>1. 所有材料接收时必须核对原件，留存复印件。</w:t>
      </w:r>
    </w:p>
    <w:p>
      <w:r>
        <w:t>2. 必收材料不全的，应当场告知客户缺什么，请客户补齐后再提交。</w:t>
      </w:r>
    </w:p>
    <w:p>
      <w:r>
        <w:t>3. 前台不代替客户判断材料是否“够用”，材料是否充分由律师决定。</w:t>
      </w:r>
    </w:p>
    <w:p>
      <w:r>
        <w:t>4. 接收材料时填写《材料接收登记表》，请客户签字确认。</w:t>
      </w:r>
    </w:p>
    <w:p>
      <w:pPr>
        <w:pStyle w:val="Heading2"/>
      </w:pPr>
      <w:r>
        <w:t>5.2 按主体分类的材料接收清单</w:t>
      </w:r>
    </w:p>
    <w:p>
      <w:pPr>
        <w:pStyle w:val="Heading3"/>
      </w:pPr>
      <w:r>
        <w:t>A类：申请执行人（想让对方上失信名单的）</w:t>
      </w:r>
    </w:p>
    <w:p>
      <w:r>
        <w:t>必收材料：</w:t>
      </w:r>
    </w:p>
    <w:p>
      <w:r>
        <w:t>☐ 身份证明：个人提供身份证复印件（核对原件）；企业提供营业执照复印件加盖公章（核对原件）</w:t>
      </w:r>
    </w:p>
    <w:p>
      <w:r>
        <w:t>☐ 裁判文书（判决书/调解书/仲裁裁决书等）复印件（核对原件，必须有法院/仲裁委盖章）</w:t>
      </w:r>
    </w:p>
    <w:p>
      <w:r>
        <w:t>☐ 生效证明（需有法院盖章确认文书已生效）</w:t>
      </w:r>
    </w:p>
    <w:p>
      <w:r>
        <w:t>☐ 执行通知书复印件</w:t>
      </w:r>
    </w:p>
    <w:p>
      <w:r>
        <w:t>☐ 纳入失信被执行人名单申请书（如客户已自行准备；如未准备，前台不提供代写服务，告知律师协助）</w:t>
      </w:r>
    </w:p>
    <w:p>
      <w:r>
        <w:br/>
        <w:t>核对要点：</w:t>
      </w:r>
    </w:p>
    <w:p>
      <w:r>
        <w:t>• 裁判文书上是否有法院红色印章？</w:t>
      </w:r>
    </w:p>
    <w:p>
      <w:r>
        <w:t>• 生效证明是否齐全？</w:t>
      </w:r>
    </w:p>
    <w:p>
      <w:r>
        <w:t>• 执行通知书案号是否与裁判文书一致？</w:t>
      </w:r>
    </w:p>
    <w:p>
      <w:r>
        <w:t>• 身份证是否在有效期内？</w:t>
      </w:r>
    </w:p>
    <w:p>
      <w:pPr>
        <w:pStyle w:val="Heading3"/>
      </w:pPr>
      <w:r>
        <w:t>B类：被执行人（自己被纳入失信名单的）</w:t>
      </w:r>
    </w:p>
    <w:p>
      <w:r>
        <w:t>必收材料：</w:t>
      </w:r>
    </w:p>
    <w:p>
      <w:r>
        <w:t>☐ 身份证明：个人提供身份证复印件（核对原件）；企业提供营业执照复印件加盖公章（核对原件）+ 法定代表人身份证明</w:t>
      </w:r>
    </w:p>
    <w:p>
      <w:r>
        <w:t>☐ 裁判文书及生效证明（核对是否有法院盖章）</w:t>
      </w:r>
    </w:p>
    <w:p>
      <w:r>
        <w:t>☐ 失信被执行人名单决定书/通知书（如收到的话）</w:t>
      </w:r>
    </w:p>
    <w:p>
      <w:r>
        <w:t>☐ 履行义务的相关证明（如转账凭证、收条等）——如有</w:t>
      </w:r>
    </w:p>
    <w:p>
      <w:r>
        <w:t>☐ 纠正申请书或相关申请材料（如客户已自行准备）</w:t>
      </w:r>
    </w:p>
    <w:p>
      <w:r>
        <w:br/>
        <w:t>核对要点：</w:t>
      </w:r>
    </w:p>
    <w:p>
      <w:r>
        <w:t>• 失信被执行人决定书上的信息（姓名、身份证号/统一社会信用代码）是否正确？</w:t>
      </w:r>
    </w:p>
    <w:p>
      <w:r>
        <w:t>• 履行证明是否有明确的付款对象和金额？</w:t>
      </w:r>
    </w:p>
    <w:p>
      <w:r>
        <w:t>• 裁判文书案号与决定书案号是否对应？</w:t>
      </w:r>
    </w:p>
    <w:p>
      <w:pPr>
        <w:pStyle w:val="Heading3"/>
      </w:pPr>
      <w:r>
        <w:t>C类：被限制高消费人员</w:t>
      </w:r>
    </w:p>
    <w:p>
      <w:r>
        <w:t>必收材料：</w:t>
      </w:r>
    </w:p>
    <w:p>
      <w:r>
        <w:t>☐ 身份证明：个人提供身份证复印件（核对原件）；企业提供营业执照复印件加盖公章 + 法定代表人/负责人身份证明</w:t>
      </w:r>
    </w:p>
    <w:p>
      <w:r>
        <w:t>☐ 裁判文书及生效证明</w:t>
      </w:r>
    </w:p>
    <w:p>
      <w:r>
        <w:t>☐ 限制消费令原件或复印件</w:t>
      </w:r>
    </w:p>
    <w:p>
      <w:r>
        <w:t>☐ 如因私消费豁免申请：需说明具体事由，并提供个人财产证明</w:t>
      </w:r>
    </w:p>
    <w:p>
      <w:r>
        <w:br/>
        <w:t>核对要点：</w:t>
      </w:r>
    </w:p>
    <w:p>
      <w:r>
        <w:t>• 限制消费令是否由法院签发？</w:t>
      </w:r>
    </w:p>
    <w:p>
      <w:r>
        <w:t>• 被限消人员身份（法定代表人/实际控制人等）是否能证明？</w:t>
      </w:r>
    </w:p>
    <w:p>
      <w:r>
        <w:t>• 如因私消费豁免，是否有个人财产来源的初步说明？</w:t>
      </w:r>
    </w:p>
    <w:p>
      <w:pPr>
        <w:pStyle w:val="Heading2"/>
      </w:pPr>
      <w:r>
        <w:t>5.3 材料不全的处理</w:t>
      </w:r>
    </w:p>
    <w:p>
      <w:r>
        <w:t>如果客户缺少必收材料：</w:t>
        <w:br/>
        <w:t>1. 明确告知客户缺少哪些材料。</w:t>
        <w:br/>
        <w:t>2. 提供材料清单纸条，让客户带回去对照准备。</w:t>
        <w:br/>
        <w:t>3. 不要收下不完整的材料（如只收身份证不收裁判文书），除非客户坚持要求先登记，此时应在登记表上注明“材料不全，待补齐”，并由客户签字确认。</w:t>
        <w:br/>
        <w:t>4. 告知客户：“材料齐全后提交给承办律师，律师才能更快地帮您推进。”</w:t>
      </w:r>
    </w:p>
    <w:p>
      <w:r>
        <w:br w:type="page"/>
      </w:r>
    </w:p>
    <w:p>
      <w:pPr>
        <w:pStyle w:val="Heading1"/>
      </w:pPr>
      <w:r>
        <w:t>第六章  升级流转机制</w:t>
      </w:r>
    </w:p>
    <w:p>
      <w:pPr>
        <w:pStyle w:val="Heading2"/>
      </w:pPr>
      <w:r>
        <w:t>6.1 升级触发条件</w:t>
      </w:r>
    </w:p>
    <w:p>
      <w:r>
        <w:t>当出现以下任一情况时，前台必须将问题升级给承办律师或当值主管：</w:t>
      </w:r>
    </w:p>
    <w:p>
      <w:r>
        <w:t>🔴 触发条件1：客户情绪失控、有暴力倾向、辱骂威胁工作人员。</w:t>
      </w:r>
    </w:p>
    <w:p>
      <w:r>
        <w:t>🔴 触发条件2：客户要求查询法官内部通讯方式、案件未公开信息、法院内部审批情况。</w:t>
      </w:r>
    </w:p>
    <w:p>
      <w:r>
        <w:t>🔴 触发条件3：客户对法定期限（如15日审查期、3个工作日删除期）表示强烈质疑，要求当场给出解决方案。</w:t>
      </w:r>
    </w:p>
    <w:p>
      <w:r>
        <w:t>🔴 触发条件4：客户提出的诉求涉及个案法律判断。</w:t>
      </w:r>
    </w:p>
    <w:p>
      <w:r>
        <w:t>🔴 触发条件5：客户提交的材料疑似伪造、明显与案件无关、或涉及涉密信息。</w:t>
      </w:r>
    </w:p>
    <w:p>
      <w:r>
        <w:t>🔴 触发条件6：客户对前台解释不满意，反复要求“给个说法”或“找领导”。</w:t>
      </w:r>
    </w:p>
    <w:p>
      <w:pPr>
        <w:pStyle w:val="Heading2"/>
      </w:pPr>
      <w:r>
        <w:t>6.2 升级流转流程</w:t>
      </w:r>
    </w:p>
    <w:p>
      <w:r>
        <w:t>标准升级流程如下（5步）：</w:t>
      </w:r>
    </w:p>
    <w:p>
      <w:r>
        <w:t>第1步【安抚】：先对客户情绪进行安抚。话术示例：“我非常理解您的着急/困扰，请您放心，我们一定帮您把问题反映给负责律师。”</w:t>
      </w:r>
    </w:p>
    <w:p>
      <w:r>
        <w:t>第2步【记录】：在《升级流转登记表》上简要记录客户姓名、联系方式、来访目的、核心诉求。</w:t>
      </w:r>
    </w:p>
    <w:p>
      <w:r>
        <w:t>第3步【联系】：立即通过内部通讯工具联系对应的承办律师或当值主管，简要说明客户情况和诉求。</w:t>
      </w:r>
    </w:p>
    <w:p>
      <w:r>
        <w:t>第4步【交接】：律师/主管到达后，当面将客户和登记表一并交接。如果律师暂时无法到场，告知客户预计等待时间，并提供茶水。</w:t>
      </w:r>
    </w:p>
    <w:p>
      <w:r>
        <w:t>第5步【跟进】：交接完成后，在系统中更新流转状态。如当天未能对接律师，需在次日上午10点前电话跟进。</w:t>
      </w:r>
    </w:p>
    <w:p>
      <w:pPr>
        <w:pStyle w:val="Heading2"/>
      </w:pPr>
      <w:r>
        <w:t>6.3 升级流转登记表（模板）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566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填写内容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登记时间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____年____月____日 ____:____</w:t>
            </w:r>
          </w:p>
        </w:tc>
      </w:tr>
      <w:tr>
        <w:tc>
          <w:tcPr>
            <w:tcW w:type="dxa" w:w="2268"/>
            <w:shd w:fill="D9E2F3"/>
          </w:tcPr>
          <w:p>
            <w:r>
              <w:rPr>
                <w:sz w:val="18"/>
              </w:rPr>
              <w:t>客户姓名</w:t>
            </w:r>
          </w:p>
        </w:tc>
        <w:tc>
          <w:tcPr>
            <w:tcW w:type="dxa" w:w="5669"/>
            <w:shd w:fill="D9E2F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联系电话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D9E2F3"/>
          </w:tcPr>
          <w:p>
            <w:r>
              <w:rPr>
                <w:sz w:val="18"/>
              </w:rPr>
              <w:t>来访身份</w:t>
            </w:r>
          </w:p>
        </w:tc>
        <w:tc>
          <w:tcPr>
            <w:tcW w:type="dxa" w:w="5669"/>
            <w:shd w:fill="D9E2F3"/>
          </w:tcPr>
          <w:p>
            <w:r>
              <w:rPr>
                <w:sz w:val="18"/>
              </w:rPr>
              <w:t>☐申请执行人  ☐被执行人  ☐被限消人员  ☐其他：____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来访目的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☐咨询失信名单  ☐咨询限消措施  ☐提交材料  ☐要求删除/解除  ☐其他：____</w:t>
            </w:r>
          </w:p>
        </w:tc>
      </w:tr>
      <w:tr>
        <w:tc>
          <w:tcPr>
            <w:tcW w:type="dxa" w:w="2268"/>
            <w:shd w:fill="D9E2F3"/>
          </w:tcPr>
          <w:p>
            <w:r>
              <w:rPr>
                <w:sz w:val="18"/>
              </w:rPr>
              <w:t>核心诉求</w:t>
            </w:r>
          </w:p>
        </w:tc>
        <w:tc>
          <w:tcPr>
            <w:tcW w:type="dxa" w:w="5669"/>
            <w:shd w:fill="D9E2F3"/>
          </w:tcPr>
          <w:p>
            <w:r>
              <w:rPr>
                <w:sz w:val="18"/>
              </w:rPr>
              <w:t>（简要记录客户的主要要求）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触发升级的原因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☐情绪失控  ☐要求内部信息  ☐质疑法定期限  ☐涉及个案判断  ☐材料异常  ☐其他</w:t>
            </w:r>
          </w:p>
        </w:tc>
      </w:tr>
      <w:tr>
        <w:tc>
          <w:tcPr>
            <w:tcW w:type="dxa" w:w="2268"/>
            <w:shd w:fill="D9E2F3"/>
          </w:tcPr>
          <w:p>
            <w:r>
              <w:rPr>
                <w:sz w:val="18"/>
              </w:rPr>
              <w:t>已接收材料</w:t>
            </w:r>
          </w:p>
        </w:tc>
        <w:tc>
          <w:tcPr>
            <w:tcW w:type="dxa" w:w="5669"/>
            <w:shd w:fill="D9E2F3"/>
          </w:tcPr>
          <w:p>
            <w:r>
              <w:rPr>
                <w:sz w:val="18"/>
              </w:rPr>
              <w:t>☐身份证  ☐裁判文书  ☐生效证明  ☐执行通知书  ☐限制消费令  ☐其他：____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交接给哪位律师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  <w:shd w:fill="D9E2F3"/>
          </w:tcPr>
          <w:p>
            <w:r>
              <w:rPr>
                <w:sz w:val="18"/>
              </w:rPr>
              <w:t>交接时间</w:t>
            </w:r>
          </w:p>
        </w:tc>
        <w:tc>
          <w:tcPr>
            <w:tcW w:type="dxa" w:w="5669"/>
            <w:shd w:fill="D9E2F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备注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6.4 异常材料的处理</w:t>
      </w:r>
    </w:p>
    <w:p>
      <w:r>
        <w:t>当客户提交的材料出现以下异常情况时：</w:t>
        <w:br/>
        <w:t>• 疑似伪造（如印章模糊、格式异常）：不要当面质疑客户，收下材料并在登记表备注“疑似异常”，立即升级给律师。</w:t>
        <w:br/>
        <w:t>• 明显与案件无关（如提交了完全不相关的合同）：告知客户“这份材料可能和本次委托关系不大，我先收下，让律师判断是否需要”，登记后升级。</w:t>
        <w:br/>
        <w:t>• 涉及涉密/敏感信息：提醒客户注意信息安全，将材料单独密封存放，立即通知主管。</w:t>
        <w:br/>
        <w:br/>
        <w:t>⚠ 原则：前台不做材料的实质性判断，只做物理接收和登记，实质判断交给律师。</w:t>
      </w:r>
    </w:p>
    <w:p>
      <w:r>
        <w:br w:type="page"/>
      </w:r>
    </w:p>
    <w:p>
      <w:pPr>
        <w:pStyle w:val="Heading1"/>
      </w:pPr>
      <w:r>
        <w:t>第七章  保密与纪律要求</w:t>
      </w:r>
    </w:p>
    <w:p>
      <w:pPr>
        <w:pStyle w:val="Heading2"/>
      </w:pPr>
      <w:r>
        <w:t>7.1 保密义务</w:t>
      </w:r>
    </w:p>
    <w:p>
      <w:r>
        <w:t>前台在接待过程中会接触到客户的案件信息和个人隐私，必须严格遵守以下保密要求：</w:t>
        <w:br/>
        <w:br/>
        <w:t>1. 禁止在公共接待区域（大厅、等候区）大声讨论客户的案件详情，需要详细沟通时引导至独立接待室。</w:t>
        <w:br/>
        <w:t>2. 禁止向无关人员（包括其他客户、无关同事）透露客户的来访信息和案件情况。</w:t>
        <w:br/>
        <w:t>3. 禁止私自复印、拍照、截屏客户提交的材料。</w:t>
        <w:br/>
        <w:t>4. 禁止将客户材料带离工作区域。</w:t>
        <w:br/>
        <w:t>5. 客户信息仅在必要的工作流程中传递，不得在社交媒体或非工作群聊中讨论。</w:t>
        <w:br/>
        <w:t>6. 离职时须交还所有客户材料，不得留存任何副本。</w:t>
      </w:r>
    </w:p>
    <w:p>
      <w:pPr>
        <w:pStyle w:val="Heading2"/>
      </w:pPr>
      <w:r>
        <w:t>7.2 违规后果</w:t>
      </w:r>
    </w:p>
    <w:p>
      <w:r>
        <w:t>违反上述保密和纪律要求的，将视情节轻重给予警告、处分直至解除劳动合同处理。造成严重后果的（如客户信息泄露导致损失），机构保留追究法律责任的权利。</w:t>
      </w:r>
    </w:p>
    <w:p>
      <w:r>
        <w:br w:type="page"/>
      </w:r>
    </w:p>
    <w:p>
      <w:pPr>
        <w:pStyle w:val="Heading1"/>
      </w:pPr>
      <w:r>
        <w:t>附录  法定规则来源说明</w:t>
      </w:r>
    </w:p>
    <w:p>
      <w:r>
        <w:t>本手册第四章的法定规则要点提炼自以下最高人民法院现行规范：</w:t>
        <w:br/>
        <w:br/>
        <w:t>1.《最高人民法院关于公布失信被执行人名单信息的若干规定》</w:t>
        <w:br/>
        <w:t xml:space="preserve">  （2013年通过，2017年修正，法释〔2017〕7号，自2017年5月1日起施行）</w:t>
        <w:br/>
        <w:br/>
        <w:t>2.《最高人民法院关于限制被执行人高消费及有关消费的若干规定》</w:t>
        <w:br/>
        <w:t xml:space="preserve">  （2010年通过，2015年修正，法释〔2015〕17号，自2015年7月22日起施行）</w:t>
        <w:br/>
        <w:br/>
        <w:t>说明：本手册仅涵盖上述规范条文本身支持的内容。如后续出台新的操作细则或地方性指导意见，将由法务部门另行更新手册。前台接待人员不应参考本手册以外的信息来源来回答客户问题。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