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零售交易月报复核：内部交接</w:t>
      </w:r>
    </w:p>
    <w:p>
      <w:pPr>
        <w:pStyle w:val="Heading1"/>
      </w:pPr>
      <w:r>
        <w:t>可以使用的结果</w:t>
      </w:r>
    </w:p>
    <w:p>
      <w:r>
        <w:t>按V2规则，UK的12个完整月交易净额合计7,821,195.05英镑；净额最高为2011-11，1,282,805.78英镑。该金额是记录中数量乘单价之和，不是确认收入、利润或已收款。</w:t>
      </w:r>
    </w:p>
    <w:p>
      <w:r>
        <w:t>保留缺失客户号的正向金额1,596,592.61英镑，占正向金额18.93%；客户人数只统计已知ID。不能因为缺少ID就删去这部分交易金额。</w:t>
      </w:r>
    </w:p>
    <w:p>
      <w:pPr>
        <w:pStyle w:val="Heading1"/>
      </w:pPr>
      <w:r>
        <w:t>旧稿需要纠正</w:t>
      </w:r>
    </w:p>
    <w:p>
      <w:r>
        <w:t>不能先dropna再drop_duplicates并删掉所有取消单；这会同时改变金额、客户覆盖和贷项。多行同一发票也不能压成一行，发票数须独立计数。</w:t>
      </w:r>
    </w:p>
    <w:p>
      <w:r>
        <w:t>C前缀表示取消，需结合负数量和正单价；非C负数量、零价和负价单列隔离。按批准顺序互斥计数，类别行数和必须等于原始行数。</w:t>
      </w:r>
    </w:p>
    <w:p>
      <w:r>
        <w:t>原数据没有贷项对应的原销售发票号，客户号加商品号不足以证明唯一匹配；贷项放生成月份，不倒填原月。当期贷项金额比不是销售批次退货率。</w:t>
      </w:r>
    </w:p>
    <w:p>
      <w:pPr>
        <w:pStyle w:val="Heading1"/>
      </w:pPr>
      <w:r>
        <w:t>时间与发布</w:t>
      </w:r>
    </w:p>
    <w:p>
      <w:r>
        <w:t>资料截点2011-12-12 10:00 UTC。财务负责人V2已在截点前批准收到；运营V3无权更改口径，10:05补签不能回填。此稿仅供内部复核，2011年12月只到9日，不参与完整月比较；不能用月报确认2011年全年金额。</w:t>
      </w:r>
    </w:p>
    <w:p>
      <w:pPr>
        <w:pStyle w:val="Heading1"/>
      </w:pPr>
      <w:r>
        <w:t>接手动作</w:t>
      </w:r>
    </w:p>
    <w:p>
      <w:r>
        <w:t>数据管理员补取独立源行ID与贷项关联证据，才讨论去重和按原销售月追溯；财务负责人确认收入确认所需凭证，才编会计收入报表；运营负责人核对缺号流程和被隔离记录原因。当前月报继续交付，不把这些缺口当作全任务停摆。</w:t>
      </w:r>
    </w:p>
    <w:p>
      <w:r>
        <w:t>Chen, D. (2015). Online Retail. UCI Machine Learning Repository. DOI:10.24432/C5BW33. CC BY 4.0.</w:t>
      </w:r>
    </w:p>
    <w:p>
      <w:r>
        <w:t>复现：python analysis.py --inputs /app/input_files --output /app/output --skills /skills。使用固定本地文件；不联网刷新、补造数据、申报、联系客户或实际发布。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