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游戏埋点迁移验收与暂停发布建议</w:t>
      </w:r>
    </w:p>
    <w:p>
      <w:pPr>
        <w:pStyle w:val="Heading1"/>
      </w:pPr>
      <w:r>
        <w:t>发布决定</w:t>
      </w:r>
    </w:p>
    <w:p>
      <w:r>
        <w:t>本批暂停发布。程序处理了30条输入，识别10个新增唯一事件，但第13行与历史检查点historical-conflict的已提交内容冲突。禁止修改历史记录或把该冲突静默覆盖；需数据负责人查清权威原始记录后再重跑。10个新增事件只是本地验收候选，不代表已对外发布。</w:t>
      </w:r>
    </w:p>
    <w:p>
      <w:pPr>
        <w:pStyle w:val="Heading1"/>
      </w:pPr>
      <w:r>
        <w:t>采用哪个版本</w:t>
      </w:r>
    </w:p>
    <w:p>
      <w:r>
        <w:t>冻结时刻为2026-10-21 12:00 UTC。采用V2接入策略：数据负责人已于10月20日08:30批准，批准于09:00到达，策略也于09:00生效。V1被后来已批准生效的V2取代。V3的09:00分析师同意无审批权限；负责人13:00批准、13:01到达均晚于冻结时刻。因此本批不能采用V3的最后一条覆盖规则。</w:t>
      </w:r>
    </w:p>
    <w:p>
      <w:pPr>
        <w:pStyle w:val="Heading1"/>
      </w:pPr>
      <w:r>
        <w:t>旧数据和时间</w:t>
      </w:r>
    </w:p>
    <w:p>
      <w:r>
        <w:t>源合同按occurred_at判断：10月20日00:00之前按V1，正好等于边界及之后按V2，不能按接收时间解释源字段。第6行虽晚到，仍按V1把1.25秒转换为1250毫秒；第7行正好处于边界，按V2。第17行在冻结后到达，留到下批，不混入当前接收或异常数。</w:t>
      </w:r>
    </w:p>
    <w:p>
      <w:pPr>
        <w:pStyle w:val="Heading1"/>
      </w:pPr>
      <w:r>
        <w:t>身份与重复</w:t>
      </w:r>
    </w:p>
    <w:p>
      <w:r>
        <w:t>两个大字符串ID9007199254740992、9007199254740993分别保留；00042和42也不是同一ID。第5行数字型ID隔离，不能将舍入后的数字再转字符串。第8、9行归一后相同，仅计一次；第10、11行内容不一致，两行整组隔离。第12行与检查点相同，计为already_committed，不增加业务事件。比较检查点时按字段语义比较数值，避免JSON浮点与内部整数导致假冲突。</w:t>
      </w:r>
    </w:p>
    <w:p>
      <w:pPr>
        <w:pStyle w:val="Heading1"/>
      </w:pPr>
      <w:r>
        <w:t>坏记录与结果核对</w:t>
      </w:r>
    </w:p>
    <w:p>
      <w:r>
        <w:t>第16行截断JSON和第24行空行分别记录invalid_json；第14、15行是合法JSON但根类型错误，记invalid_root。负值、小数毫秒、布尔时长、V1不足一毫秒的精度不作截断修补。无效日期、接收早于发生、版本不匹配和错误事件名均按各自原因隔离。第23行尾逗号由固定Godot4.3解析器接受，本合同没有另加严格RFC限制。第30行仍被处理，证明中间坏行没有中止整批。逐行依据和计数见decisions.csv与run_report.json。</w:t>
      </w:r>
    </w:p>
    <w:p>
      <w:pPr>
        <w:pStyle w:val="Heading1"/>
      </w:pPr>
      <w:r>
        <w:t>重跑和证据范围</w:t>
      </w:r>
    </w:p>
    <w:p>
      <w:r>
        <w:t>使用Godot4.3：godot --headless --script migrate.gd -- --inputs INPUT_DIRECTORY --output OUTPUT_DIRECTORY。四份原始输入的SHA256在run_report.json，输入和检查点保持只读。变更审批生效/到达时刻或新增记录后必须重新计算，不可复用旧结论。官方4.3 JSON和FileAccess资料支撑技术行为；事件合同和遥测是原创模拟材料，不是真实玩家数据。此为作者参考实现及验收建议，未完成独立专家审核或正式模型评分。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