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六块博物馆标识重做：字多大、箭头往哪、哪些还不能制作？</w:t>
      </w:r>
    </w:p>
    <w:p>
      <w:pPr>
        <w:pStyle w:val="Heading1"/>
      </w:pPr>
      <w:r>
        <w:t>你要解决什么问题</w:t>
      </w:r>
    </w:p>
    <w:p>
      <w:r>
        <w:t>你是展览视觉设计师。六块馆内标识的旧稿字太小，部分箭头也错了。请根据给定位置条件重做可编辑审稿文件，并告诉制作商哪些可以继续打样、哪些必须暂缓。这里只做六个已确定位置的标识，不设计整座博物馆的参观路线。</w:t>
      </w:r>
    </w:p>
    <w:p>
      <w:pPr>
        <w:pStyle w:val="Heading1"/>
      </w:pPr>
      <w:r>
        <w:t>材料与事实边界</w:t>
      </w:r>
    </w:p>
    <w:p>
      <w:r>
        <w:t>本题是假想美国私人博物馆的离线制作演练。勘察表、审批事件、旧稿和客户约束为原创模拟，不是真实场馆记录；ADA条款来自实际美国Access Board原文。没有真实客户、平面图、施工或最终认证。原文与本地Word阅读摘录均已给出，不需要联网或猜测地方法规。</w:t>
      </w:r>
    </w:p>
    <w:p>
      <w:r>
        <w:t>六行勘察表的baseline_in是安装后的文字基线离地高度，不是牌底或牌顶；viewing_in是阻挡进一步靠近的障碍到文字的水平距离，不是任意相机距离。采用英寸主单位，统一按1in=25.4mm换算；表中公制近似不能替换主单位重新取整。</w:t>
      </w:r>
    </w:p>
    <w:p>
      <w:pPr>
        <w:pStyle w:val="Heading1"/>
      </w:pPr>
      <w:r>
        <w:t>实际工作</w:t>
      </w:r>
    </w:p>
    <w:p>
      <w:r>
        <w:t>以2026-10-21T12:00:00Z为资料冻结时点，选择有权限且已知的审批版本。S05的使用日期包含首尾，按已批准计划判断临时标识例外，不以安装当天尚未满7天为由忽略已知延期。</w:t>
      </w:r>
    </w:p>
    <w:p>
      <w:r>
        <w:t>逐牌区分方向信息和永久房间名称，核对标准适用范围。按703.5.5的高度/距离分段计算最低大写I字高，正确处理70in、120in、72in和180in边界；超过距离阈值按连续英尺差计算，不把字号点数当实物字高。</w:t>
      </w:r>
    </w:p>
    <w:p>
      <w:r>
        <w:t>制作六页600×300mm可编辑PPTX，每页一块牌，次序为S01至S06。必须保留给定英文名称与方向；非触觉方向信息不强制加盲文。视觉字可采用等价的常规字体与布局，须量出大写I字高、O/I比例、I笔画和最邻近字符间距，不含词间空格；多行方案另查基线间距。禁止只交整页截图。</w:t>
      </w:r>
    </w:p>
    <w:p>
      <w:r>
        <w:t>导出同源同序六页PDF，核查1:1页尺寸、缺字、字体替换、裁切和箭头；按每牌写清最小字高、实际字高、字体/间距依据、适用条款和打样条件。客户要求文字和箭头离板边至少20mm；不得让字号变大后挤出页面。</w:t>
      </w:r>
    </w:p>
    <w:p>
      <w:r>
        <w:t>S04是永久房间牌，现有材料只有视觉稿，没有凸字/Grade 2盲文样品和现场门侧核验。可以交视觉方案，但必须暂缓生产安装，并向有能力的制作商交接触觉、位置和样品要求；不能用平面点阵冒充实体盲文验收。</w:t>
      </w:r>
    </w:p>
    <w:p>
      <w:r>
        <w:t>为制作商写中文交接说明，分别列视觉打样、表面/灯光/现场确认、触觉样品和馆方放行步骤。其余五块牌也只是可继续打样，不是已安装或已认证。</w:t>
      </w:r>
    </w:p>
    <w:p>
      <w:pPr>
        <w:pStyle w:val="Heading1"/>
      </w:pPr>
      <w:r>
        <w:t>交付文件</w:t>
      </w:r>
    </w:p>
    <w:p>
      <w:r>
        <w:t>在/app/output交signs.pptx、从其实际导出的signs.pdf、audit.xlsx和handoff.docx。Excel至少保留六个ID、输入高度/距离、最低/方案字高、字体测量、版本取舍和逐牌后续条件；中文交接Word不超过3页。文件页序与清单一致，S04暂缓状态必须明确。</w:t>
      </w:r>
    </w:p>
    <w:p>
      <w:pPr>
        <w:pStyle w:val="Heading1"/>
      </w:pPr>
      <w:r>
        <w:t>硬约束</w:t>
      </w:r>
    </w:p>
    <w:p>
      <w:r>
        <w:t>不改变原始输入、不联网补地方法规、不编造测量或打样记录、不实际发布或联系制作商。原文703.5.1要求明暗对比与无眩光表面，未规定WCAG的4.5:1或7:1数字；可把数值作为内部屏幕检查，但不得冒称实体标准的法定门槛或现场反光测试。</w:t>
      </w:r>
    </w:p>
    <w:p>
      <w:r>
        <w:t>不得用压缩包、加密文件、网页链接或整页图片代替成果。禁止把未批准/冻结后批准的V3当作本次依据；禁止宣称ADA全面认证、真实客户批准、实体样品通过或已经安装。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