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标识审稿交接：先打样，后现场确认</w:t>
      </w:r>
    </w:p>
    <w:p>
      <w:pPr>
        <w:pStyle w:val="Heading1"/>
      </w:pPr>
      <w:r>
        <w:t>本次决定</w:t>
      </w:r>
    </w:p>
    <w:p>
      <w:r>
        <w:t>采用V2。V3由供应商设计员提出，无馆方批准权；13:00的补签晚于12:00冻结，不能回填。S05按11月1日至8日含首尾共8天设计，不适用临时7天例外。</w:t>
      </w:r>
    </w:p>
    <w:p>
      <w:r>
        <w:t>S01/S02/S03/S05/S06可继续视觉打样；S04明确HOLD，不得仅凭视觉PDF制作安装。其余五块也没有获得全面认证或最终安装许可。</w:t>
      </w:r>
    </w:p>
    <w:p>
      <w:pPr>
        <w:pStyle w:val="Heading1"/>
      </w:pPr>
      <w:r>
        <w:t>交给谁、先做什么</w:t>
      </w:r>
    </w:p>
    <w:p>
      <w:r>
        <w:t>设计师交六页600×300mm可编辑稿及同源PDF，制作商按100%实尺寸核文字/箭头/净距，核实际字体替换和字高，不把字号当字高。具体英寸输入、最低毫米值与方案测量见audit.xlsx。</w:t>
      </w:r>
    </w:p>
    <w:p>
      <w:r>
        <w:t>制作商为所有牌提供哑光表面实样；馆方现场核照明、眩光、基线和最接近距离，再决定生产安装。屏幕上的深色字配浅底不等于实体材料已通过反光测试；703.5.1没有4.5:1或7:1法定数值。</w:t>
      </w:r>
    </w:p>
    <w:p>
      <w:pPr>
        <w:pStyle w:val="Heading1"/>
      </w:pPr>
      <w:r>
        <w:t>S04的额外交接</w:t>
      </w:r>
    </w:p>
    <w:p>
      <w:r>
        <w:t>703.1允许视觉和触觉分牌。制作商补大写无衬线凸字、Grade 2盲文和实体尺寸样，凸字凸起至少0.8mm，盲文须由有能力者转写并核尺寸，不用打印点阵替代。按703.2–703.4核字符高度/间距、最低及最高触觉基线48–60in、门锁侧位置和门扇影响；现场净空和样品均缺，馆方须补证后另行批准。</w:t>
      </w:r>
    </w:p>
    <w:p>
      <w:pPr>
        <w:pStyle w:val="Heading1"/>
      </w:pPr>
      <w:r>
        <w:t>范围</w:t>
      </w:r>
    </w:p>
    <w:p>
      <w:r>
        <w:t>所有场馆记录为原创模拟。这里只交六牌视觉审稿及条件性制作交接，不涵盖整馆路线、消防、建筑整体或ADA全面认证；没有实际打样、印刷、安装、发布或联系外部人员。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