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徐汇AI支持政策：招商问答修订稿</w:t>
      </w:r>
    </w:p>
    <w:p>
      <w:pPr>
        <w:pStyle w:val="Heading1"/>
      </w:pPr>
      <w:r>
        <w:t>内部审稿说明</w:t>
      </w:r>
    </w:p>
    <w:p>
      <w:r>
        <w:t>资料与权限截点2026年1月5日10:00（上海时间），本稿未发布，不构成补助承诺。按已取得正文说明政策；具体主体是否适用、实际核定额和执行流程须由有权机关依法认定。2022政策完整附件未取得，相关旧口径暂缓。</w:t>
      </w:r>
    </w:p>
    <w:p>
      <w:pPr>
        <w:pStyle w:val="Heading1"/>
      </w:pPr>
      <w:r>
        <w:t>Q01 2025产业意见何时开始适用？</w:t>
      </w:r>
    </w:p>
    <w:p>
      <w:r>
        <w:t>发布不等于试行。AI25于2025年5月31日起试行；回看5月15日不能用其确认扶持。 依据：AI25附则5；OLD22只有发文通知。</w:t>
      </w:r>
    </w:p>
    <w:p>
      <w:pPr>
        <w:pStyle w:val="Heading1"/>
      </w:pPr>
      <w:r>
        <w:t>Q02 哪些主体可以了解产业支持？</w:t>
      </w:r>
    </w:p>
    <w:p>
      <w:r>
        <w:t>支持对象包括依法经营的产业法人或非法人组织机构，以及其他依法经区政府批准的对象；仍须符合区域产业导向、经营良好、无严重违法失信。 依据：AI25一、支持对象。</w:t>
      </w:r>
    </w:p>
    <w:p>
      <w:pPr>
        <w:pStyle w:val="Heading1"/>
      </w:pPr>
      <w:r>
        <w:t>Q03 落地就能拿5000万元吗？</w:t>
      </w:r>
    </w:p>
    <w:p>
      <w:r>
        <w:t>对符合区域产业导向的优质主体，经综合评估，可给予单个经营主体最高5000万元支持；这是条件性上限，不是落地即付或招商主管承诺付款的授权。 依据：AI25二（一）及附则3。</w:t>
      </w:r>
    </w:p>
    <w:p>
      <w:pPr>
        <w:pStyle w:val="Heading1"/>
      </w:pPr>
      <w:r>
        <w:t>Q04 产业规模提升支持能每年自动领取吗？</w:t>
      </w:r>
    </w:p>
    <w:p>
      <w:r>
        <w:t>产业规模提升须结合经营水平、成长发展能力等综合评估，可给予最高1亿元支持；条文未写每年自动领取，不能补成年度普发待遇。 依据：AI25二（二）。</w:t>
      </w:r>
    </w:p>
    <w:p>
      <w:pPr>
        <w:pStyle w:val="Heading1"/>
      </w:pPr>
      <w:r>
        <w:t>Q05 研发支持如何理解比例和封顶？</w:t>
      </w:r>
    </w:p>
    <w:p>
      <w:r>
        <w:t>达到5%以上只满足该条比例条件之一；经综合评估，可按不超过研发投入30%，单个主体年度最高5000万元。示例上界须同时处理比例、封顶和资格，不能当核定金额。 依据：AI25二（五）。</w:t>
      </w:r>
    </w:p>
    <w:p>
      <w:pPr>
        <w:pStyle w:val="Heading1"/>
      </w:pPr>
      <w:r>
        <w:t>Q06 算力投入可以支持多少？</w:t>
      </w:r>
    </w:p>
    <w:p>
      <w:r>
        <w:t>购买或租用算力经评审，不超过实际算力投入30%，单个主体年度最高2000万元。同类政策就高不重复，不对同笔费用直接叠加算力券。 依据：AI25二（六）及附则1；OPC25附则1。</w:t>
      </w:r>
    </w:p>
    <w:p>
      <w:pPr>
        <w:pStyle w:val="Heading1"/>
      </w:pPr>
      <w:r>
        <w:t>Q07 三种券可以当300万元现金吗？</w:t>
      </w:r>
    </w:p>
    <w:p>
      <w:r>
        <w:t>符合条件的超级创业者可获最高100%支持的100万元算力券、100万元模型券、100万元语料券补贴及先用后付等组合支持。300万元仅为三类券面上限相加，不是现金保证；兑换、比例和资格须按执行条件核实。 依据：OPC25三4。</w:t>
      </w:r>
    </w:p>
    <w:p>
      <w:pPr>
        <w:pStyle w:val="Heading1"/>
      </w:pPr>
      <w:r>
        <w:t>Q08 20人以下都属于超级创业者吗？</w:t>
      </w:r>
    </w:p>
    <w:p>
      <w:r>
        <w:t>人员规模一般不超过10人；特别优秀且经认定可放宽到20人。超过10人不能仅因未超过20人就自行认定，其他对象须依法经区政府批准。 依据：OPC25二、支持对象。</w:t>
      </w:r>
    </w:p>
    <w:p>
      <w:pPr>
        <w:pStyle w:val="Heading1"/>
      </w:pPr>
      <w:r>
        <w:t>Q09 人才租房补贴是否一次性发放？</w:t>
      </w:r>
    </w:p>
    <w:p>
      <w:r>
        <w:t>超级创业者创新创业人才可申请每月不超过2000元、最长3年的人才租房补贴。7.2万元只是2000元乘36个月的理论累计上界，不能改写为每个人立即一次领取。 依据：OPC25三3。</w:t>
      </w:r>
    </w:p>
    <w:p>
      <w:pPr>
        <w:pStyle w:val="Heading1"/>
      </w:pPr>
      <w:r>
        <w:t>Q10 工位和专业服务是否永久免费？</w:t>
      </w:r>
    </w:p>
    <w:p>
      <w:r>
        <w:t>符合条件的工位费和专业综合服务实行首年全免、次年评估续免；次年须评估，不是永久免除，也不是所有租金或任意外部服务费均免。 依据：OPC25三1、三7。</w:t>
      </w:r>
    </w:p>
    <w:p>
      <w:pPr>
        <w:pStyle w:val="Heading1"/>
      </w:pPr>
      <w:r>
        <w:t>Q11 两项场景项目支持能叠加吗？</w:t>
      </w:r>
    </w:p>
    <w:p>
      <w:r>
        <w:t>两项场景条款各有适用对象、不超过核定总投入50%及最高1000万元或300万元的限制；同类政策从高不重复，不能相加保证1300万元。先按相同费用口径比较条件性上限，再由执行机关认定。 依据：AI25二（十）、附则1；OPC25三5、附则1。</w:t>
      </w:r>
    </w:p>
    <w:p>
      <w:pPr>
        <w:pStyle w:val="Heading1"/>
      </w:pPr>
      <w:r>
        <w:t>Q12 登记备案奖励是年度还是累计？</w:t>
      </w:r>
    </w:p>
    <w:p>
      <w:r>
        <w:t>产业意见要求经认定，可给予单个经营主体累计最高500万元奖励；创业者措施也使用累计最高口径。累计不是每年，登记备案不能直接当到账凭证。 依据：AI25二（十一）；OPC25三11。</w:t>
      </w:r>
    </w:p>
    <w:p>
      <w:pPr>
        <w:pStyle w:val="Heading1"/>
      </w:pPr>
      <w:r>
        <w:t>Q13 2022政策正文没拿到，如何回答旧口径？</w:t>
      </w:r>
    </w:p>
    <w:p>
      <w:r>
        <w:t>现有2022发文通知可以确认发文机关、文号和2022年9月16日，但不含完整扶持意见；附件获取404不是废止证据。不能确认旧额度、有效期、适用与新旧衔接，须补完整原件及有效性依据。 依据：OLD22通知正文；附件失败记录。</w:t>
      </w:r>
    </w:p>
    <w:p>
      <w:pPr>
        <w:pStyle w:val="Heading1"/>
      </w:pPr>
      <w:r>
        <w:t>Q14 路径年份及网页部门字段与正文不一致怎么办？</w:t>
      </w:r>
    </w:p>
    <w:p>
      <w:r>
        <w:t>OPC25正文注明2025年12月30日起试行二年，落款为区科委，解释条款为科委会同新工办、数据局、财政局等。路径年份及搜索元数据部门字段不能替代正文；部门字段冲突应记录待核，不擅自改写官方元数据。 依据：OPC25落款及附则4、5；检索部门字段。</w:t>
      </w:r>
    </w:p>
    <w:p>
      <w:pPr>
        <w:pStyle w:val="Heading1"/>
      </w:pPr>
      <w:r>
        <w:t>使用前的交接</w:t>
      </w:r>
    </w:p>
    <w:p>
      <w:r>
        <w:t>招商主管先核对拟接洽主体及费用，不以演算值作报价；资料管理员补2022全文和有效性依据，保留部门字段差异；法务负责人复核后另行取得发布签批。V2仅批准审查范围，供应商V3无发布权，10:05补签不能回填10:00状态。本题不代替机关认定，不实际联络、申报或发布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