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徐汇AI招商问答改稿：哪些支持能写，哪些不能承诺到账？</w:t>
      </w:r>
    </w:p>
    <w:p>
      <w:pPr>
        <w:pStyle w:val="Heading1"/>
      </w:pPr>
      <w:r>
        <w:t>你接到的工作</w:t>
      </w:r>
    </w:p>
    <w:p>
      <w:r>
        <w:t>你是招商团队的政策研究员。团队准备介绍徐汇AI扶持政策，但14条问答草稿把政策上限写成保底现金，把券、年度和累计口径混在一起。请把草稿改成招商同事能直接使用的中文问答，并留下逐条证据底稿。成果仅供内部审稿，不实际发布或承诺资金。</w:t>
      </w:r>
    </w:p>
    <w:p>
      <w:pPr>
        <w:pStyle w:val="Heading1"/>
      </w:pPr>
      <w:r>
        <w:t>材料和时间</w:t>
      </w:r>
    </w:p>
    <w:p>
      <w:r>
        <w:t>三份政府原始页面及一份Word摘录是真实捕获资料；2022材料只有发文通知，其完整附件实际返回404。待审问答、委托版本和8组演算参数是原创演练，不是真实客户、审批、投资或企业记录。网页于2026年捕获，本题按注明的发文/试行日期重建历史口径，不声称保存了2026年1月当时的网页快照。</w:t>
      </w:r>
    </w:p>
    <w:p>
      <w:r>
        <w:t>本轮资料与权限截点为2026-01-05 10:00 Asia/Shanghai。按输入事件选择已授权的审查范围，不让供应商的V3或截点后补签把审稿变成已发布。另回答一次历史复核：AI25在2025年5月15日是否已经试行。</w:t>
      </w:r>
    </w:p>
    <w:p>
      <w:pPr>
        <w:pStyle w:val="Heading1"/>
      </w:pPr>
      <w:r>
        <w:t>具体要做什么</w:t>
      </w:r>
    </w:p>
    <w:p>
      <w:r>
        <w:t>逐条审查Q01至Q14：给保留、改写或暂缓的结论，说明原文依据和条件，写出能直接替换的中文答复。区分支持对象、比例门槛、金额上限、年度与累计、券与现金，以及评估/认定条件。不要把政策最高额度写成具体企业的既得权益。</w:t>
      </w:r>
    </w:p>
    <w:p>
      <w:r>
        <w:t>分别建立三份政策的文号、发布/试行日期、试行期和资料完整性清单。2022正文缺失时限定结论、列补证动作，继续处理材料充分的内容；不能猜旧标准或断言新文已整体废止旧文。正文与搜索部门字段冲突应记录待核，不修改输入。</w:t>
      </w:r>
    </w:p>
    <w:p>
      <w:r>
        <w:t>演算E01至E08，原单位和参数保持不变，公式或等价过程可复核。研发先判断5%比例，再同时应用30%及5000万元上限；算力用30%及2000万元。E06分别算两政策场景项目50%和1000/300万元上限，再处理同类不重复。E07算元与万元，E08注明券面；结果都是条件性上界，不能当实际核定款。</w:t>
      </w:r>
    </w:p>
    <w:p>
      <w:r>
        <w:t>给法务和招商主管一份能执行的交接清单：本轮状态、需要谁补哪份材料、什么条件下再进入发布审核；不要把缺少2022全文扩成所有工作停摆。</w:t>
      </w:r>
    </w:p>
    <w:p>
      <w:pPr>
        <w:pStyle w:val="Heading1"/>
      </w:pPr>
      <w:r>
        <w:t>交付</w:t>
      </w:r>
    </w:p>
    <w:p>
      <w:r>
        <w:t>在/app/output只交政策审查底稿.xlsx及招商问答修订稿.docx。Excel包含Q01-Q14逐条意见、来源版本、8组演算与发布/补证动作；允许等价工作表名和顺序，保留稳定ID与条款定位。Word为中文、最多6页，14个问题均有可直接使用的回答，开头明确内部审稿状态和日期；不能只把评分项抄成结论清单。</w:t>
      </w:r>
    </w:p>
    <w:p>
      <w:pPr>
        <w:pStyle w:val="Heading1"/>
      </w:pPr>
      <w:r>
        <w:t>硬约束</w:t>
      </w:r>
    </w:p>
    <w:p>
      <w:r>
        <w:t>不改输入、不联网补法规或旧附件、不联系机关/企业、不申请补助或实际发布；不伪造批准、到账、现场调研、网页当时快照或纠错记录。缺失信息写清范围与补证。不得以URL、压缩包、加密文件代替成果，也不把演算参数包装成真实企业数据。</w:t>
      </w:r>
    </w:p>
    <w:p>
      <w:r>
        <w:t>政策简称：AI25指2025产业意见，OPC25指2025超级创业者措施，OLD22指2022发文通知。所附检索摘录中OPC25的departmentName为教育局，dispatchAgency及正文为科委；该差异仅作为待核资料，不授予作者改写官网的权限。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