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按审批时点完成运输收益模型与稳健采购组合</w:t>
      </w:r>
    </w:p>
    <w:p>
      <w:pPr>
        <w:pStyle w:val="Heading1"/>
      </w:pPr>
      <w:r>
        <w:t>决策使用者</w:t>
      </w:r>
    </w:p>
    <w:p>
      <w:r>
        <w:t>你是虚构Hexline工作室的经营游戏系统分析师。为内部运输扩展原型给出首年可执行采购方案。本题使用OpenTTD Wiki固定快照的基础货物参数与公式图，路线、需求、成本、审批和年度长度均为原创演练参数，不是实际玩家遥测、现实运输统计或OpenTTD官方经济预测。</w:t>
      </w:r>
    </w:p>
    <w:p>
      <w:pPr>
        <w:pStyle w:val="Heading1"/>
      </w:pPr>
      <w:r>
        <w:t>截至时点与权限</w:t>
      </w:r>
    </w:p>
    <w:p>
      <w:r>
        <w:t>交付决策截至2026-10-21 12:00 UTC。读取scenario.json与approval-events.json；只有operations_director角色可以批准。版本必须在截至时点前已获授权批准、已到生效时点且未退役；不是按版本号或文件时间取最新。若没有唯一有效版本，应停止唯一推荐并说明阻塞。V1基表不是最终批准覆盖值，变更只覆盖route_overrides指定字段。</w:t>
      </w:r>
    </w:p>
    <w:p>
      <w:pPr>
        <w:pStyle w:val="Heading1"/>
      </w:pPr>
      <w:r>
        <w:t>收益模型</w:t>
      </w:r>
    </w:p>
    <w:p>
      <w:r>
        <w:t>查看income-formula.png和cargo-income-reading.docx。用Wiki图的分段模型，时间因子f=max(31,255-max(0,t-days1)-max(0,t-days1-days2))；days2是第一段之后的持续期。单批理论收入=base*批量*计费距离*f/2^21，演练按每一满批或末尾部分批分别向下取整到整英镑后相加。只有本题定义的规划模型，不要求复刻当前引擎逐位取整、通胀或极迟到衰减。</w:t>
      </w:r>
    </w:p>
    <w:p>
      <w:r>
        <w:t>计费距离用起终站名称标记格的曼哈顿距离，不能用travelled_tiles或欧氏距离。age_periods为已测货物老化周期，1周期对应2.5游戏日；不要把t再乘2.5。station_wait_days不计入货物老化，不可加进age_periods；cycle_days已含装卸、等待、去返程，不能再叠加等待。所有给定情景t均在本题普通衰减范围内，不外推到极迟到案例。</w:t>
      </w:r>
    </w:p>
    <w:p>
      <w:pPr>
        <w:pStyle w:val="Heading1"/>
      </w:pPr>
      <w:r>
        <w:t>方案与需求</w:t>
      </w:r>
    </w:p>
    <w:p>
      <w:r>
        <w:t>六个运输选项各购0至3辆整数车；每辆年完成次数=floor(year_days/cycle_days)。一完整循环有一次可计费载货运输，回程无收入，货源足以按给定需求/运力界限装载。一个选项的年度交付量=min(年度需求,车辆数*年循环次数*单车容量)。先用满批，最后一批可部分装载；未完成的末循环不确认收入。</w:t>
      </w:r>
    </w:p>
    <w:p>
      <w:r>
        <w:t>同exclusive_group不同选项互斥，例如G1与G2不能同时采购；同一个选项可以多车。所有采购总额不得超过批准budget，总车数不得超过fleet_limit，需求只在该选项年度池累计一次，不能给每辆车重复分配全量需求。首年净现金=收入-全部采购额-每辆完整年度运行费，无残值、补贴、税、贴现或融资。</w:t>
      </w:r>
    </w:p>
    <w:p>
      <w:pPr>
        <w:pStyle w:val="Heading1"/>
      </w:pPr>
      <w:r>
        <w:t>压力与全局选择</w:t>
      </w:r>
    </w:p>
    <w:p>
      <w:r>
        <w:t>压力情景同时令每个选项需求=floor(原需求*stress_demand_percent/100)，t增加stress_age_periods，cycle_days增加stress_cycle_days，其他不变。重算离散循环、需求截断、分批收入与净现金。方案压力净现金须至少minimum_stress_net。</w:t>
      </w:r>
    </w:p>
    <w:p>
      <w:r>
        <w:t>在全部0..3车辆组合中找满足预算、车数、互斥与最低压力净现金的全局最优：先最大化压力净现金，再最大化基准净现金，再最小化采购额，最后按输入固定选项顺序的车辆向量字典序升序破同分。给前三个次优可行方案及相对差距；不得只将单车ROI排序当成组合最优证明。</w:t>
      </w:r>
    </w:p>
    <w:p>
      <w:pPr>
        <w:pStyle w:val="Heading1"/>
      </w:pPr>
      <w:r>
        <w:t>交付</w:t>
      </w:r>
    </w:p>
    <w:p>
      <w:r>
        <w:t>交/app/output/model.py、plan.json、planning.xlsx、handoff.docx。model.py接受--inputs与--output，从三个JSON重新计算plan.json，包含有效版本、全部0..3单选项结果、可行组合数、最优和前三次优、三个输入SHA256；不硬编码参考数值。允许等价算法，plan.json语义等价即可。</w:t>
      </w:r>
    </w:p>
    <w:p>
      <w:r>
        <w:t>planning.xlsx保留实际可编辑收益、压力和汇总公式，至少覆盖六选项各1/2/3车的计算、批准参数、来源参数和最优组合，数字与plan.json一致。handoff.docx面向负责人写批准依据、建议车数/采购/两情景净现金、次优差距及复算命令。表名和布局可等价，不强求复制参考。</w:t>
      </w:r>
    </w:p>
    <w:p>
      <w:pPr>
        <w:pStyle w:val="Heading1"/>
      </w:pPr>
      <w:r>
        <w:t>硬性要求</w:t>
      </w:r>
    </w:p>
    <w:p>
      <w:r>
        <w:t>使用本地固定输入，不联网更新；不修改源文件或将未来批准视作已批准。不得声称已实际运行OpenTTD引擎、验证存档、得到官方背书或完成专家审核。输出不能只写建议。原始HTML与公式PNG为来源，Word是提取阅读版；阅读版不包含公式图片，必须另看原图。Wiki来源及提取版受其GFDL条款约束，原许可全文随附，来源/捕获版本与独立专业和权利审核状态应保留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