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药品召回材料核对：范围与待办交接</w:t>
      </w:r>
    </w:p>
    <w:p>
      <w:pPr>
        <w:pStyle w:val="Heading1"/>
      </w:pPr>
      <w:r>
        <w:t>本轮做了什么</w:t>
      </w:r>
    </w:p>
    <w:p>
      <w:r>
        <w:t>按V2复核，截点2026-10-21T08:25:00+00:00。原始查询含183条药品记录、61个事件；本轮选9条，涉及6个事件。演练案例与真实库存分开。</w:t>
      </w:r>
    </w:p>
    <w:p>
      <w:r>
        <w:t>案例结果：召回正文范围命中11例；本条正文不足以支持命中6例；信息不足，待核3例。命中仅指文字范围，不证明院内持有受影响药品，也不构成患者用药或库存放行决定。</w:t>
      </w:r>
    </w:p>
    <w:p>
      <w:pPr>
        <w:pStyle w:val="Heading1"/>
      </w:pPr>
      <w:r>
        <w:t>必须改正的旧稿</w:t>
      </w:r>
    </w:p>
    <w:p>
      <w:r>
        <w:t>原包装与再包装NDC、批号须按各自来源配对，不做所有包装乘所有批号。补充openfda.package_ndc是标识关联，不替代召回产品正文；没有补充字段也不能删除原始记录。All lots附有效期上界时必须连同限制判断。</w:t>
      </w:r>
    </w:p>
    <w:p>
      <w:r>
        <w:t>发起日期不是报告日期；报告在2024年不代表召回也在2024年发起。状态标签、termination_date原值、接口last_updated与本次捕获时间分别保留，不能拼成已经核实的生命周期。Completed或Terminated标签都不自动授权恢复使用。</w:t>
      </w:r>
    </w:p>
    <w:p>
      <w:pPr>
        <w:pStyle w:val="Heading1"/>
      </w:pPr>
      <w:r>
        <w:t>后续交接</w:t>
      </w:r>
    </w:p>
    <w:p>
      <w:r>
        <w:t>内部待办按演练SOP排资料核对优先级和UTC时限，不是医疗处置时限或法规要求。资料负责人补原始公告及更新范围，库存负责人提供真实包装/批号/有效期凭证，药事与质量负责人依据一手通知及院内程序作后续决定。没有这些凭证不捏造库存和接触患者情况。</w:t>
      </w:r>
    </w:p>
    <w:p>
      <w:r>
        <w:t>来源openFDA官方说明明确不应用本数据作临床决策、公众警报或追踪召回生命周期。当前只交内部可复算资料核对，不联系厂家或患者、不实际发布、不改变召回状态。</w:t>
      </w:r>
    </w:p>
    <w:p>
      <w:pPr>
        <w:pStyle w:val="Heading1"/>
      </w:pPr>
      <w:r>
        <w:t>复跑与署名</w:t>
      </w:r>
    </w:p>
    <w:p>
      <w:r>
        <w:t>运行python review.py --inputs INPUT --output OUTPUT --skills SKILLS。结果来自固定原始JSON和本项目技能，输入不改写。Data provided by the U.S. Food and Drug Administration (https://open.fda.gov). 原创演练，不代表FDA背书。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