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Hexline运输原型采购决策</w:t>
      </w:r>
    </w:p>
    <w:p>
      <w:pPr>
        <w:pStyle w:val="Heading1"/>
      </w:pPr>
      <w:r>
        <w:t>采购建议</w:t>
      </w:r>
    </w:p>
    <w:p>
      <w:r>
        <w:t>建议采用G1方案3辆，合计3辆；购车支出84,000英镑，基准首年净现金192,270英镑，压力首年净现金137,010英镑，其余选项不采购。预算和最低压力净现金要求均满足。</w:t>
      </w:r>
    </w:p>
    <w:p>
      <w:r>
        <w:t>完整枚举4,096个车辆组合后，23个满足批准约束。先选压力净现金最高者，再比较基准净现金、较低采购额及固定输入顺序的车辆向量，前三个次优见下文。</w:t>
      </w:r>
    </w:p>
    <w:p>
      <w:pPr>
        <w:pStyle w:val="Heading1"/>
      </w:pPr>
      <w:r>
        <w:t>审批与变更</w:t>
      </w:r>
    </w:p>
    <w:p>
      <w:r>
        <w:t>截至2026-10-21 12:00 UTC执行V2，授权主管于10月20日17:30批准，18:00生效，G1循环由基表50改为60日。V1已退役；V3分析师批准无权，主管13:00批准又晚于截至时点，不能采用更大预算/更快G1。</w:t>
      </w:r>
    </w:p>
    <w:p>
      <w:pPr>
        <w:pStyle w:val="Heading1"/>
      </w:pPr>
      <w:r>
        <w:t>次优与代价</w:t>
      </w:r>
    </w:p>
    <w:p>
      <w:r>
        <w:t>次优第1：C1方案2辆、G1方案2辆，合计4辆；购车支出100,000英镑，基准首年净现金196,916英镑，压力首年净现金126,766英镑；相对推荐方案，压力净现金少10,244英镑。</w:t>
      </w:r>
    </w:p>
    <w:p>
      <w:r>
        <w:t>次优第2：C1方案1辆、G1方案2辆、P1方案1辆，合计4辆；购车支出98,000英镑，基准首年净现金175,876英镑，压力首年净现金115,895英镑；相对推荐方案，压力净现金少21,115英镑。</w:t>
      </w:r>
    </w:p>
    <w:p>
      <w:r>
        <w:t>次优第3：C1方案1辆、G1方案2辆，合计3辆；购车支出78,000英镑，基准首年净现金162,548英镑，压力首年净现金109,053英镑；相对推荐方案，压力净现金少27,957英镑。</w:t>
      </w:r>
    </w:p>
    <w:p>
      <w:pPr>
        <w:pStyle w:val="Heading1"/>
      </w:pPr>
      <w:r>
        <w:t>计算与交接</w:t>
      </w:r>
    </w:p>
    <w:p>
      <w:r>
        <w:t>参数来自本地OpenTTD Wiki固定货物表，公式原图已核读。计费为站点曼哈顿距离；t为2.5游戏日周期而非日历天数；车站等待不老化且已在车辆循环中。单批收入逐批向下取整，末批可不满。压力同时改变需求/老化/循环，收入不等于首年净现金。</w:t>
      </w:r>
    </w:p>
    <w:p>
      <w:r>
        <w:t>复算：python model.py --inputs /app/input_files --output /app/output。程序生成plan.json；修改输入后，也要更新公式工作簿和本建议书。工作簿的基准对照、压力对照可用于阅读，Options保留完整逐项公式。</w:t>
      </w:r>
    </w:p>
    <w:p>
      <w:pPr>
        <w:pStyle w:val="Heading1"/>
      </w:pPr>
      <w:r>
        <w:t>证据与限制</w:t>
      </w:r>
    </w:p>
    <w:p>
      <w:r>
        <w:t>路线、成本、需求、预算和审批为原创模拟设计；货物参数与公式来自固定Wiki。本建议只适用于委托规定的有限规划模型，不代表当前OpenTTD引擎、扩展模组、通胀、随机故障或现实投资回报。网页摘要存在极迟到和精度范围差异，不能据近似公式声称已验证当前引擎。GFDL许可全文及原HTML随输入保留；Word阅读版是标注过的提取辅助。建议仅供内部原型评审，未执行实际采购，也未获得独立专业或权利批准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