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待审招商口径_含错误的原创演练</w:t>
      </w:r>
    </w:p>
    <w:p>
      <w:pPr>
        <w:pStyle w:val="Heading1"/>
      </w:pPr>
      <w:r>
        <w:t>Q01</w:t>
      </w:r>
    </w:p>
    <w:p>
      <w:r>
        <w:t>2025年4月30日发布新政策，5月15日就可以按它确认扶持。</w:t>
      </w:r>
    </w:p>
    <w:p>
      <w:pPr>
        <w:pStyle w:val="Heading1"/>
      </w:pPr>
      <w:r>
        <w:t>Q02</w:t>
      </w:r>
    </w:p>
    <w:p>
      <w:r>
        <w:t>只有公司法人能成为2025产业意见的支持对象。</w:t>
      </w:r>
    </w:p>
    <w:p>
      <w:pPr>
        <w:pStyle w:val="Heading1"/>
      </w:pPr>
      <w:r>
        <w:t>Q03</w:t>
      </w:r>
    </w:p>
    <w:p>
      <w:r>
        <w:t>AI企业落地即可领取5000万元现金，招商人员可签字保证。</w:t>
      </w:r>
    </w:p>
    <w:p>
      <w:pPr>
        <w:pStyle w:val="Heading1"/>
      </w:pPr>
      <w:r>
        <w:t>Q04</w:t>
      </w:r>
    </w:p>
    <w:p>
      <w:r>
        <w:t>产业规模提升每年可自动领取1亿元。</w:t>
      </w:r>
    </w:p>
    <w:p>
      <w:pPr>
        <w:pStyle w:val="Heading1"/>
      </w:pPr>
      <w:r>
        <w:t>Q05</w:t>
      </w:r>
    </w:p>
    <w:p>
      <w:r>
        <w:t>研发投入达到营业收入5%，就能拿满研发投入30%，无封顶。</w:t>
      </w:r>
    </w:p>
    <w:p>
      <w:pPr>
        <w:pStyle w:val="Heading1"/>
      </w:pPr>
      <w:r>
        <w:t>Q06</w:t>
      </w:r>
    </w:p>
    <w:p>
      <w:r>
        <w:t>算力投入统一补30%，最高5000万元；算力券还可对同笔费用另领。</w:t>
      </w:r>
    </w:p>
    <w:p>
      <w:pPr>
        <w:pStyle w:val="Heading1"/>
      </w:pPr>
      <w:r>
        <w:t>Q07</w:t>
      </w:r>
    </w:p>
    <w:p>
      <w:r>
        <w:t>超级创业者三种券合计300万元，全部无条件现金打到账户。</w:t>
      </w:r>
    </w:p>
    <w:p>
      <w:pPr>
        <w:pStyle w:val="Heading1"/>
      </w:pPr>
      <w:r>
        <w:t>Q08</w:t>
      </w:r>
    </w:p>
    <w:p>
      <w:r>
        <w:t>只要不超过20人，都自动属于超级创业者支持对象。</w:t>
      </w:r>
    </w:p>
    <w:p>
      <w:pPr>
        <w:pStyle w:val="Heading1"/>
      </w:pPr>
      <w:r>
        <w:t>Q09</w:t>
      </w:r>
    </w:p>
    <w:p>
      <w:r>
        <w:t>每个人都可以立即一次领取7.2万元人才租房补贴。</w:t>
      </w:r>
    </w:p>
    <w:p>
      <w:pPr>
        <w:pStyle w:val="Heading1"/>
      </w:pPr>
      <w:r>
        <w:t>Q10</w:t>
      </w:r>
    </w:p>
    <w:p>
      <w:r>
        <w:t>工位费和财务法务服务永久全免，次年无须评估。</w:t>
      </w:r>
    </w:p>
    <w:p>
      <w:pPr>
        <w:pStyle w:val="Heading1"/>
      </w:pPr>
      <w:r>
        <w:t>Q11</w:t>
      </w:r>
    </w:p>
    <w:p>
      <w:r>
        <w:t>同一个场景项目可把产业意见1000万与创业者措施300万相加领取1300万。</w:t>
      </w:r>
    </w:p>
    <w:p>
      <w:pPr>
        <w:pStyle w:val="Heading1"/>
      </w:pPr>
      <w:r>
        <w:t>Q12</w:t>
      </w:r>
    </w:p>
    <w:p>
      <w:r>
        <w:t>完成生成式AI登记备案后，每年自动奖励500万元。</w:t>
      </w:r>
    </w:p>
    <w:p>
      <w:pPr>
        <w:pStyle w:val="Heading1"/>
      </w:pPr>
      <w:r>
        <w:t>Q13</w:t>
      </w:r>
    </w:p>
    <w:p>
      <w:r>
        <w:t>2022政策的PDF打不开，说明旧政策已废止，里面的额度可以按网上印象补齐。</w:t>
      </w:r>
    </w:p>
    <w:p>
      <w:pPr>
        <w:pStyle w:val="Heading1"/>
      </w:pPr>
      <w:r>
        <w:t>Q14</w:t>
      </w:r>
    </w:p>
    <w:p>
      <w:r>
        <w:t>页面地址带2026，所以超级创业者措施2026年才生效；教育局是唯一解释机关。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