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事件处置法律行动意见</w:t>
      </w:r>
    </w:p>
    <w:p>
      <w:pPr>
        <w:jc w:val="center"/>
      </w:pPr>
      <w:r>
        <w:rPr>
          <w:b/>
          <w:sz w:val="24"/>
        </w:rPr>
        <w:t>4800名消费者的小型金融机构｜FTC Safeguards Rule</w:t>
      </w:r>
    </w:p>
    <w:p>
      <w:pPr>
        <w:jc w:val="center"/>
      </w:pPr>
      <w:r>
        <w:rPr>
          <w:i/>
        </w:rPr>
        <w:t>致：运营负责人　｜　事实基准日：2025-03-07　｜　性质：假设演练、外部合规律师意见</w:t>
      </w:r>
    </w:p>
    <w:p>
      <w:pPr>
        <w:pStyle w:val="Heading1"/>
      </w:pPr>
      <w:r>
        <w:t>执行结论</w:t>
      </w:r>
    </w:p>
    <w:p>
      <w:r>
        <w:t>今天应把本案作为达到16 CFR §314.4(j)门槛的notification event处理：原案涉及550名不同消费者；加密文件与密钥均被攻击者取得，依§314.2(m)视为未加密；非涉事员工Alex于2025-03-03 09:00知悉，知识即归责公司。必须“尽快”电子通知FTC，绝对最迟2025-04-02。管理层03-06才阅读、律师03-07介入均不重置时钟。</w:t>
      </w:r>
    </w:p>
    <w:p>
      <w:r>
        <w:t>4800名维护消费者只触发§314.6的四项列举例外：书面风险评估的规定内容§314.4(b)(1)、特定持续监控/渗透测试与漏洞评估机制§314.4(d)(2)、书面事件响应计划§314.4(h)、年度QI治理报告§314.4(i)。它不豁免整体信息安全计划、QI、基础/定期风险评估、MFA、§314.4(d)(1)的一般测试/监测、培训更新、服务商合同与评估、计划调整或FTC通报。</w:t>
      </w:r>
    </w:p>
    <w:p>
      <w:r>
        <w:t>警方口头“暂不公开”请求不构成§314.4(j)(1)(vi)所称书面决定，不暂停或延长向FTC提交。规则中的执法延期针对公众披露：应立即请求书面决定和明确期限，但在取得前，FTC表单应如实回答“无书面决定”。</w:t>
      </w:r>
    </w:p>
    <w:p>
      <w:pPr>
        <w:pStyle w:val="Heading2"/>
      </w:pPr>
      <w:r>
        <w:t>今天的批准事项</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7365D"/>
          </w:tcPr>
          <w:p>
            <w:r>
              <w:rPr>
                <w:b/>
                <w:color w:val="FFFFFF"/>
                <w:sz w:val="16"/>
              </w:rPr>
              <w:t>决定</w:t>
            </w:r>
          </w:p>
        </w:tc>
        <w:tc>
          <w:tcPr>
            <w:tcW w:type="dxa" w:w="4464"/>
            <w:vAlign w:val="center"/>
            <w:shd w:fill="17365D"/>
          </w:tcPr>
          <w:p>
            <w:r>
              <w:rPr>
                <w:b/>
                <w:color w:val="FFFFFF"/>
                <w:sz w:val="16"/>
              </w:rPr>
              <w:t>今天批准/指定</w:t>
            </w:r>
          </w:p>
        </w:tc>
        <w:tc>
          <w:tcPr>
            <w:tcW w:type="dxa" w:w="2016"/>
            <w:vAlign w:val="center"/>
            <w:shd w:fill="17365D"/>
          </w:tcPr>
          <w:p>
            <w:r>
              <w:rPr>
                <w:b/>
                <w:color w:val="FFFFFF"/>
                <w:sz w:val="16"/>
              </w:rPr>
              <w:t>责任人</w:t>
            </w:r>
          </w:p>
        </w:tc>
        <w:tc>
          <w:tcPr>
            <w:tcW w:type="dxa" w:w="2592"/>
            <w:vAlign w:val="center"/>
            <w:shd w:fill="17365D"/>
          </w:tcPr>
          <w:p>
            <w:r>
              <w:rPr>
                <w:b/>
                <w:color w:val="FFFFFF"/>
                <w:sz w:val="16"/>
              </w:rPr>
              <w:t>完成凭证</w:t>
            </w:r>
          </w:p>
        </w:tc>
      </w:tr>
      <w:tr>
        <w:tc>
          <w:tcPr>
            <w:tcW w:type="dxa" w:w="1584"/>
            <w:vAlign w:val="top"/>
          </w:tcPr>
          <w:p>
            <w:pPr>
              <w:spacing w:after="40"/>
            </w:pPr>
            <w:r>
              <w:rPr>
                <w:sz w:val="16"/>
              </w:rPr>
              <w:t>FTC工作流</w:t>
            </w:r>
          </w:p>
        </w:tc>
        <w:tc>
          <w:tcPr>
            <w:tcW w:type="dxa" w:w="4464"/>
            <w:vAlign w:val="top"/>
          </w:tcPr>
          <w:p>
            <w:pPr>
              <w:spacing w:after="40"/>
            </w:pPr>
            <w:r>
              <w:rPr>
                <w:sz w:val="16"/>
              </w:rPr>
              <w:t>授权Dana Lee作为报告联系人；外部律师复核；取证负责人逐字段确认；CEO/授权人批准后才电子提交。目标尽快，不等到04-02。</w:t>
            </w:r>
          </w:p>
        </w:tc>
        <w:tc>
          <w:tcPr>
            <w:tcW w:type="dxa" w:w="2016"/>
            <w:vAlign w:val="top"/>
          </w:tcPr>
          <w:p>
            <w:pPr>
              <w:spacing w:after="40"/>
            </w:pPr>
            <w:r>
              <w:rPr>
                <w:sz w:val="16"/>
              </w:rPr>
              <w:t>CEO / Dana Lee / 外部律师</w:t>
            </w:r>
          </w:p>
        </w:tc>
        <w:tc>
          <w:tcPr>
            <w:tcW w:type="dxa" w:w="2592"/>
            <w:vAlign w:val="top"/>
          </w:tcPr>
          <w:p>
            <w:pPr>
              <w:spacing w:after="40"/>
            </w:pPr>
            <w:r>
              <w:rPr>
                <w:sz w:val="16"/>
              </w:rPr>
              <w:t>批准链、最终表单、提交回执（提交后）</w:t>
            </w:r>
          </w:p>
        </w:tc>
      </w:tr>
      <w:tr>
        <w:tc>
          <w:tcPr>
            <w:tcW w:type="dxa" w:w="1584"/>
            <w:vAlign w:val="top"/>
          </w:tcPr>
          <w:p>
            <w:pPr>
              <w:spacing w:after="40"/>
            </w:pPr>
            <w:r>
              <w:rPr>
                <w:sz w:val="16"/>
              </w:rPr>
              <w:t>应急资金</w:t>
            </w:r>
          </w:p>
        </w:tc>
        <w:tc>
          <w:tcPr>
            <w:tcW w:type="dxa" w:w="4464"/>
            <w:vAlign w:val="top"/>
          </w:tcPr>
          <w:p>
            <w:pPr>
              <w:spacing w:after="40"/>
            </w:pPr>
            <w:r>
              <w:rPr>
                <w:sz w:val="16"/>
              </w:rPr>
              <w:t>$100,000不超过额：取证与范围确认$60,000；法律/通知工作$20,000；MFA及关键日志快速部署$20,000。超额须CEO+CFO书面批准。</w:t>
            </w:r>
          </w:p>
        </w:tc>
        <w:tc>
          <w:tcPr>
            <w:tcW w:type="dxa" w:w="2016"/>
            <w:vAlign w:val="top"/>
          </w:tcPr>
          <w:p>
            <w:pPr>
              <w:spacing w:after="40"/>
            </w:pPr>
            <w:r>
              <w:rPr>
                <w:sz w:val="16"/>
              </w:rPr>
              <w:t>CEO / CFO</w:t>
            </w:r>
          </w:p>
        </w:tc>
        <w:tc>
          <w:tcPr>
            <w:tcW w:type="dxa" w:w="2592"/>
            <w:vAlign w:val="top"/>
          </w:tcPr>
          <w:p>
            <w:pPr>
              <w:spacing w:after="40"/>
            </w:pPr>
            <w:r>
              <w:rPr>
                <w:sz w:val="16"/>
              </w:rPr>
              <w:t>采购单、范围书、发票、周度燃尽</w:t>
            </w:r>
          </w:p>
        </w:tc>
      </w:tr>
      <w:tr>
        <w:tc>
          <w:tcPr>
            <w:tcW w:type="dxa" w:w="1584"/>
            <w:vAlign w:val="top"/>
          </w:tcPr>
          <w:p>
            <w:pPr>
              <w:spacing w:after="40"/>
            </w:pPr>
            <w:r>
              <w:rPr>
                <w:sz w:val="16"/>
              </w:rPr>
              <w:t>人员</w:t>
            </w:r>
          </w:p>
        </w:tc>
        <w:tc>
          <w:tcPr>
            <w:tcW w:type="dxa" w:w="4464"/>
            <w:vAlign w:val="top"/>
          </w:tcPr>
          <w:p>
            <w:pPr>
              <w:spacing w:after="40"/>
            </w:pPr>
            <w:r>
              <w:rPr>
                <w:sz w:val="16"/>
              </w:rPr>
              <w:t>书面指定临时QI；事件负责人、取证负责人、IT止损负责人、证据保管人、法务和通信负责人；设每日15分钟决策会。</w:t>
            </w:r>
          </w:p>
        </w:tc>
        <w:tc>
          <w:tcPr>
            <w:tcW w:type="dxa" w:w="2016"/>
            <w:vAlign w:val="top"/>
          </w:tcPr>
          <w:p>
            <w:pPr>
              <w:spacing w:after="40"/>
            </w:pPr>
            <w:r>
              <w:rPr>
                <w:sz w:val="16"/>
              </w:rPr>
              <w:t>CEO / QI</w:t>
            </w:r>
          </w:p>
        </w:tc>
        <w:tc>
          <w:tcPr>
            <w:tcW w:type="dxa" w:w="2592"/>
            <w:vAlign w:val="top"/>
          </w:tcPr>
          <w:p>
            <w:pPr>
              <w:spacing w:after="40"/>
            </w:pPr>
            <w:r>
              <w:rPr>
                <w:sz w:val="16"/>
              </w:rPr>
              <w:t>任命书、RACI、每日决策日志</w:t>
            </w:r>
          </w:p>
        </w:tc>
      </w:tr>
      <w:tr>
        <w:tc>
          <w:tcPr>
            <w:tcW w:type="dxa" w:w="1584"/>
            <w:vAlign w:val="top"/>
          </w:tcPr>
          <w:p>
            <w:pPr>
              <w:spacing w:after="40"/>
            </w:pPr>
            <w:r>
              <w:rPr>
                <w:sz w:val="16"/>
              </w:rPr>
              <w:t>止损与证据</w:t>
            </w:r>
          </w:p>
        </w:tc>
        <w:tc>
          <w:tcPr>
            <w:tcW w:type="dxa" w:w="4464"/>
            <w:vAlign w:val="top"/>
          </w:tcPr>
          <w:p>
            <w:pPr>
              <w:spacing w:after="40"/>
            </w:pPr>
            <w:r>
              <w:rPr>
                <w:sz w:val="16"/>
              </w:rPr>
              <w:t>保全云/身份/导出/密钥/管理员日志和镜像；撤销可疑令牌；轮换相关密钥；高权限MFA；不得破坏证据。</w:t>
            </w:r>
          </w:p>
        </w:tc>
        <w:tc>
          <w:tcPr>
            <w:tcW w:type="dxa" w:w="2016"/>
            <w:vAlign w:val="top"/>
          </w:tcPr>
          <w:p>
            <w:pPr>
              <w:spacing w:after="40"/>
            </w:pPr>
            <w:r>
              <w:rPr>
                <w:sz w:val="16"/>
              </w:rPr>
              <w:t>IT / 取证商 / QI</w:t>
            </w:r>
          </w:p>
        </w:tc>
        <w:tc>
          <w:tcPr>
            <w:tcW w:type="dxa" w:w="2592"/>
            <w:vAlign w:val="top"/>
          </w:tcPr>
          <w:p>
            <w:pPr>
              <w:spacing w:after="40"/>
            </w:pPr>
            <w:r>
              <w:rPr>
                <w:sz w:val="16"/>
              </w:rPr>
              <w:t>哈希、保全链、配置导出、变更工单</w:t>
            </w:r>
          </w:p>
        </w:tc>
      </w:tr>
      <w:tr>
        <w:tc>
          <w:tcPr>
            <w:tcW w:type="dxa" w:w="1584"/>
            <w:vAlign w:val="top"/>
          </w:tcPr>
          <w:p>
            <w:pPr>
              <w:spacing w:after="40"/>
            </w:pPr>
            <w:r>
              <w:rPr>
                <w:sz w:val="16"/>
              </w:rPr>
              <w:t>执法沟通</w:t>
            </w:r>
          </w:p>
        </w:tc>
        <w:tc>
          <w:tcPr>
            <w:tcW w:type="dxa" w:w="4464"/>
            <w:vAlign w:val="top"/>
          </w:tcPr>
          <w:p>
            <w:pPr>
              <w:spacing w:after="40"/>
            </w:pPr>
            <w:r>
              <w:rPr>
                <w:sz w:val="16"/>
              </w:rPr>
              <w:t>请警方把任何“公众披露会妨碍调查/损害国家安全”的决定、联系人和期限写明；不要把口头请求写成已有书面决定。</w:t>
            </w:r>
          </w:p>
        </w:tc>
        <w:tc>
          <w:tcPr>
            <w:tcW w:type="dxa" w:w="2016"/>
            <w:vAlign w:val="top"/>
          </w:tcPr>
          <w:p>
            <w:pPr>
              <w:spacing w:after="40"/>
            </w:pPr>
            <w:r>
              <w:rPr>
                <w:sz w:val="16"/>
              </w:rPr>
              <w:t>外部律师 / Dana Lee</w:t>
            </w:r>
          </w:p>
        </w:tc>
        <w:tc>
          <w:tcPr>
            <w:tcW w:type="dxa" w:w="2592"/>
            <w:vAlign w:val="top"/>
          </w:tcPr>
          <w:p>
            <w:pPr>
              <w:spacing w:after="40"/>
            </w:pPr>
            <w:r>
              <w:rPr>
                <w:sz w:val="16"/>
              </w:rPr>
              <w:t>书面请求及收到的正式决定（如有）</w:t>
            </w:r>
          </w:p>
        </w:tc>
      </w:tr>
    </w:tbl>
    <w:p>
      <w:r>
        <w:t>上述资金和期限是内部治理建议，不是规则给予的整改宽限；任何持续违法或FTC“尽快”义务均不能等待内部节点。</w:t>
      </w:r>
    </w:p>
    <w:p>
      <w:pPr>
        <w:pStyle w:val="Heading1"/>
      </w:pPr>
      <w:r>
        <w:t>一、控制规则、版本与引用链</w:t>
      </w:r>
    </w:p>
    <w:p>
      <w:r>
        <w:t>1. 控制文本。 本意见仅以eCFR_16_CFR_314_2025-01-01.xml所载、冻结于2025-01-01的16 CFR Part 314为本练习适用规则。若FTC指南或当前eCFR网页快照与其冲突，冻结XML控制。</w:t>
      </w:r>
    </w:p>
    <w:p>
      <w:r>
        <w:t>2. 历史材料的有限用途。 2021-12-01旧XML仅显示修订前§314.4的一般框架（协调人、风险识别、保障与测试、服务商、调整），不是现行规则。86 FR 70272（2021-12-09）最终规则增加QI、具体控制和少于5000消费者的列举例外；该规则一般于2022-01-10生效，§314.5列出的延后条款当时定于2022-12-09适用（历史生效安排仅作变化说明）。88 FR 77499（2023-11-13）新增§314.2(m)及§314.4(j)；冻结§314.5及2023公报均确认§314.4(j)自2024-05-13生效，故本2025事件受其约束。</w:t>
      </w:r>
    </w:p>
    <w:p>
      <w:r>
        <w:t>3. FTC指南实际引用链。 指南快照的实际目标为：https://www.ecfr.gov/current/title-16/chapter-I/subchapter-C/part-314（Part 314）；https://www.ecfr.gov/current/title-16/chapter-I/subchapter-C/part-314/section-314.2（§314.2，另有#314.2）；https://www.ecfr.gov/current/title-16/chapter-I/subchapter-C/part-314/section-314.6（§314.6）；以及https://www.ecfr.gov/current/title-16/chapter-I/subchapter-C/part-314/section-314.4（§314.4，另有#314.4）。这些链接用于定位后，应回到冻结XML相应§§314.2、314.4、314.6核定文字。指南中的“online reporting form”快照实际链接到§314.2页面，而非独立法律标准；提交义务仍来自冻结§314.4(j)。</w:t>
      </w:r>
    </w:p>
    <w:p>
      <w:pPr>
        <w:pStyle w:val="Heading1"/>
      </w:pPr>
      <w:r>
        <w:t>二、4800人例外：精确边界</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7365D"/>
          </w:tcPr>
          <w:p>
            <w:r>
              <w:rPr>
                <w:b/>
                <w:color w:val="FFFFFF"/>
                <w:sz w:val="16"/>
              </w:rPr>
              <w:t>类别</w:t>
            </w:r>
          </w:p>
        </w:tc>
        <w:tc>
          <w:tcPr>
            <w:tcW w:type="dxa" w:w="4680"/>
            <w:vAlign w:val="center"/>
            <w:shd w:fill="17365D"/>
          </w:tcPr>
          <w:p>
            <w:r>
              <w:rPr>
                <w:b/>
                <w:color w:val="FFFFFF"/>
                <w:sz w:val="16"/>
              </w:rPr>
              <w:t>4800人结论</w:t>
            </w:r>
          </w:p>
        </w:tc>
        <w:tc>
          <w:tcPr>
            <w:tcW w:type="dxa" w:w="2232"/>
            <w:vAlign w:val="center"/>
            <w:shd w:fill="17365D"/>
          </w:tcPr>
          <w:p>
            <w:r>
              <w:rPr>
                <w:b/>
                <w:color w:val="FFFFFF"/>
                <w:sz w:val="16"/>
              </w:rPr>
              <w:t>条款</w:t>
            </w:r>
          </w:p>
        </w:tc>
        <w:tc>
          <w:tcPr>
            <w:tcW w:type="dxa" w:w="3240"/>
            <w:vAlign w:val="center"/>
            <w:shd w:fill="17365D"/>
          </w:tcPr>
          <w:p>
            <w:r>
              <w:rPr>
                <w:b/>
                <w:color w:val="FFFFFF"/>
                <w:sz w:val="16"/>
              </w:rPr>
              <w:t>本案落地</w:t>
            </w:r>
          </w:p>
        </w:tc>
      </w:tr>
      <w:tr>
        <w:tc>
          <w:tcPr>
            <w:tcW w:type="dxa" w:w="1800"/>
            <w:vAlign w:val="top"/>
          </w:tcPr>
          <w:p>
            <w:pPr>
              <w:spacing w:after="40"/>
            </w:pPr>
            <w:r>
              <w:rPr>
                <w:sz w:val="16"/>
              </w:rPr>
              <w:t>仍适用</w:t>
            </w:r>
          </w:p>
        </w:tc>
        <w:tc>
          <w:tcPr>
            <w:tcW w:type="dxa" w:w="4680"/>
            <w:vAlign w:val="top"/>
          </w:tcPr>
          <w:p>
            <w:pPr>
              <w:spacing w:after="40"/>
            </w:pPr>
            <w:r>
              <w:rPr>
                <w:sz w:val="16"/>
              </w:rPr>
              <w:t>整体书面信息安全计划；QI；基础与定期风险评估；风险化保障（含MFA、加密、日志）；人员能力/更新；服务商选择、合同及周期评估；计划调整；一般测试/监测；FTC通报。</w:t>
            </w:r>
          </w:p>
        </w:tc>
        <w:tc>
          <w:tcPr>
            <w:tcW w:type="dxa" w:w="2232"/>
            <w:vAlign w:val="top"/>
          </w:tcPr>
          <w:p>
            <w:pPr>
              <w:spacing w:after="40"/>
            </w:pPr>
            <w:r>
              <w:rPr>
                <w:sz w:val="16"/>
              </w:rPr>
              <w:t>§§314.3；314.4(a), (b), (b)(2), (c), (d)(1), (e), (f), (g), (j)</w:t>
            </w:r>
          </w:p>
        </w:tc>
        <w:tc>
          <w:tcPr>
            <w:tcW w:type="dxa" w:w="3240"/>
            <w:vAlign w:val="top"/>
          </w:tcPr>
          <w:p>
            <w:pPr>
              <w:spacing w:after="40"/>
            </w:pPr>
            <w:r>
              <w:rPr>
                <w:sz w:val="16"/>
              </w:rPr>
              <w:t>今日补QI、MFA、日志、云合同与报告工作流；核验(d)(1)证据。</w:t>
            </w:r>
          </w:p>
        </w:tc>
      </w:tr>
      <w:tr>
        <w:tc>
          <w:tcPr>
            <w:tcW w:type="dxa" w:w="1800"/>
            <w:vAlign w:val="top"/>
          </w:tcPr>
          <w:p>
            <w:pPr>
              <w:spacing w:after="40"/>
            </w:pPr>
            <w:r>
              <w:rPr>
                <w:sz w:val="16"/>
              </w:rPr>
              <w:t>特定豁免</w:t>
            </w:r>
          </w:p>
        </w:tc>
        <w:tc>
          <w:tcPr>
            <w:tcW w:type="dxa" w:w="4680"/>
            <w:vAlign w:val="top"/>
          </w:tcPr>
          <w:p>
            <w:pPr>
              <w:spacing w:after="40"/>
            </w:pPr>
            <w:r>
              <w:rPr>
                <w:sz w:val="16"/>
              </w:rPr>
              <w:t>仅(b)(1)规定的书面风险评估及三个内容；(d)(2)规定的持续监控或年度渗透测试/至少半年漏洞评估机制；(h)书面IRP；(i)QI年度书面治理报告。</w:t>
            </w:r>
          </w:p>
        </w:tc>
        <w:tc>
          <w:tcPr>
            <w:tcW w:type="dxa" w:w="2232"/>
            <w:vAlign w:val="top"/>
          </w:tcPr>
          <w:p>
            <w:pPr>
              <w:spacing w:after="40"/>
            </w:pPr>
            <w:r>
              <w:rPr>
                <w:sz w:val="16"/>
              </w:rPr>
              <w:t>§314.6</w:t>
            </w:r>
          </w:p>
        </w:tc>
        <w:tc>
          <w:tcPr>
            <w:tcW w:type="dxa" w:w="3240"/>
            <w:vAlign w:val="top"/>
          </w:tcPr>
          <w:p>
            <w:pPr>
              <w:spacing w:after="40"/>
            </w:pPr>
            <w:r>
              <w:rPr>
                <w:sz w:val="16"/>
              </w:rPr>
              <w:t>这些缺口不构成对应条款违反；仍建议事件后自愿书面化。</w:t>
            </w:r>
          </w:p>
        </w:tc>
      </w:tr>
      <w:tr>
        <w:tc>
          <w:tcPr>
            <w:tcW w:type="dxa" w:w="1800"/>
            <w:vAlign w:val="top"/>
          </w:tcPr>
          <w:p>
            <w:pPr>
              <w:spacing w:after="40"/>
            </w:pPr>
            <w:r>
              <w:rPr>
                <w:sz w:val="16"/>
              </w:rPr>
              <w:t>自愿最佳实践</w:t>
            </w:r>
          </w:p>
        </w:tc>
        <w:tc>
          <w:tcPr>
            <w:tcW w:type="dxa" w:w="4680"/>
            <w:vAlign w:val="top"/>
          </w:tcPr>
          <w:p>
            <w:pPr>
              <w:spacing w:after="40"/>
            </w:pPr>
            <w:r>
              <w:rPr>
                <w:sz w:val="16"/>
              </w:rPr>
              <w:t>书面风险评估、书面IRP、年度治理报告，以及以渗透/漏洞评估支持(d)(1)。</w:t>
            </w:r>
          </w:p>
        </w:tc>
        <w:tc>
          <w:tcPr>
            <w:tcW w:type="dxa" w:w="2232"/>
            <w:vAlign w:val="top"/>
          </w:tcPr>
          <w:p>
            <w:pPr>
              <w:spacing w:after="40"/>
            </w:pPr>
            <w:r>
              <w:rPr>
                <w:sz w:val="16"/>
              </w:rPr>
              <w:t>管理建议，不冒充强制条款</w:t>
            </w:r>
          </w:p>
        </w:tc>
        <w:tc>
          <w:tcPr>
            <w:tcW w:type="dxa" w:w="3240"/>
            <w:vAlign w:val="top"/>
          </w:tcPr>
          <w:p>
            <w:pPr>
              <w:spacing w:after="40"/>
            </w:pPr>
            <w:r>
              <w:rPr>
                <w:sz w:val="16"/>
              </w:rPr>
              <w:t>作为完成证据、事件后治理和风险化测试手段；不称法定宽限。</w:t>
            </w:r>
          </w:p>
        </w:tc>
      </w:tr>
    </w:tbl>
    <w:p>
      <w:r>
        <w:t>关键区分：§314.6只豁免§314.4(b)(1)，并未删除§314.4(b)“以风险评估为基础”或(b)(2)“定期追加风险评估”；只豁免(d)(2)的方法与频次，并未删除(d)(1)对关键控制、系统和程序定期测试或监测的义务。题设仅证明“无书面评估”和“无持续有效监控/渗透测试”，不能虚构为已有合规替代测试，也不能反向断言从未进行任何非书面评估；今天必须查证。完整逐项缺口、行动、角色、期限和验收材料见工作簿Obligations。</w:t>
      </w:r>
    </w:p>
    <w:p>
      <w:pPr>
        <w:pStyle w:val="Heading1"/>
      </w:pPr>
      <w:r>
        <w:t>三、原4800/550事件的通知判断</w:t>
      </w:r>
    </w:p>
    <w:p>
      <w:r>
        <w:t>定义与信息。 §314.2(m)把notification event定义为未经相关个人授权取得未加密客户信息；未经授权访问未加密客户信息推定包括未经授权取得，除非有可靠证据表明没有或不可能发生取得。加密密钥被未经授权者访问时，客户信息为此目的视为未加密。姓名、地址与贷款账号/余额组合是机构持有的客户信息；本案还有实际下载且密钥被取得，并无可靠反证。</w:t>
      </w:r>
    </w:p>
    <w:p>
      <w:r>
        <w:t>人数。 §314.4(j)(1)使用“至少500名消费者”。原案550人是不同消费者，达到门槛；维护总量4800只决定§314.6例外，不改变通知门槛。</w:t>
      </w:r>
    </w:p>
    <w:p>
      <w:r>
        <w:t>发现与日期。 §314.4(j)(2)规定，事件在公司首次知道之日视为发现；任何非攻击者员工、管理人员或其他代理知悉即归责。Alex于03-03 09:00确认，故03-03为发现日。按“发现之后”的日历天计算，03-04为第1天，04-02为第30天。§314.4(j)(1)同时要求“尽快”，所以04-02是上限，不是默认目标。</w:t>
      </w:r>
    </w:p>
    <w:p>
      <w:r>
        <w:t>执法请求。 §314.4(j)(1)(vi)要求披露是否有执法官员提供书面决定，认定向公众通知会妨碍刑事调查或损害国家安全，并提供联系人。书面决定可支持从向FTC提供通知之日起最多30天的初次公众披露延期；书面请求可再延长最多60天，之后仅FTC工作人员可在条件持续时准许额外延期。现有口头请求缺少书面决定和期限，不能触发该机制，也不阻止向FTC报告。</w:t>
      </w:r>
    </w:p>
    <w:p>
      <w:pPr>
        <w:pStyle w:val="Heading1"/>
      </w:pPr>
      <w:r>
        <w:t>四、通报草稿与未知信息控制</w:t>
      </w:r>
    </w:p>
    <w:p>
      <w:r>
        <w:t>ftc_notice_draft.txt仅为原550人案的电子提交前草稿，并逐项覆盖§314.4(j)(1)(i)至(vi)：机构/联系人、信息类型、可确定的日期范围、受影响或潜在受影响人数、一般描述、执法书面决定及联系人。未知事项明确标“待核实/调查中”；不得猜测攻击路径、字段、完成修复或消费者通知。反事实C的505人不得替换原草稿中的550人。</w:t>
      </w:r>
    </w:p>
    <w:p>
      <w:pPr>
        <w:pStyle w:val="ListBullet"/>
      </w:pPr>
      <w:r>
        <w:t>提交前四人核验：取证负责人确认事件范围/人数；IT确认字段与密钥事实；外部律师确认法律字段；Dana Lee确认联系人和提交权限。</w:t>
      </w:r>
    </w:p>
    <w:p>
      <w:pPr>
        <w:pStyle w:val="ListBullet"/>
      </w:pPr>
      <w:r>
        <w:t>如调查更新人数或日期，使用提交时有证据支持的“受影响或潜在受影响”口径；保存查询、去重规则和版本。</w:t>
      </w:r>
    </w:p>
    <w:p>
      <w:pPr>
        <w:pStyle w:val="ListBullet"/>
      </w:pPr>
      <w:r>
        <w:t>本交付没有提交、联络或发送任何通知；没有声称修复、客户通知或FTC提交完成。</w:t>
      </w:r>
    </w:p>
    <w:p>
      <w:pPr>
        <w:pStyle w:val="Heading1"/>
      </w:pPr>
      <w:r>
        <w:t>五、行动计划：今天、7天内、30天内</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vAlign w:val="center"/>
            <w:shd w:fill="17365D"/>
          </w:tcPr>
          <w:p>
            <w:r>
              <w:rPr>
                <w:b/>
                <w:color w:val="FFFFFF"/>
                <w:sz w:val="16"/>
              </w:rPr>
              <w:t>期限</w:t>
            </w:r>
          </w:p>
        </w:tc>
        <w:tc>
          <w:tcPr>
            <w:tcW w:type="dxa" w:w="6120"/>
            <w:vAlign w:val="center"/>
            <w:shd w:fill="17365D"/>
          </w:tcPr>
          <w:p>
            <w:r>
              <w:rPr>
                <w:b/>
                <w:color w:val="FFFFFF"/>
                <w:sz w:val="16"/>
              </w:rPr>
              <w:t>必须完成/作出决定</w:t>
            </w:r>
          </w:p>
        </w:tc>
        <w:tc>
          <w:tcPr>
            <w:tcW w:type="dxa" w:w="2376"/>
            <w:vAlign w:val="center"/>
            <w:shd w:fill="17365D"/>
          </w:tcPr>
          <w:p>
            <w:r>
              <w:rPr>
                <w:b/>
                <w:color w:val="FFFFFF"/>
                <w:sz w:val="16"/>
              </w:rPr>
              <w:t>主责</w:t>
            </w:r>
          </w:p>
        </w:tc>
        <w:tc>
          <w:tcPr>
            <w:tcW w:type="dxa" w:w="3024"/>
            <w:vAlign w:val="center"/>
            <w:shd w:fill="17365D"/>
          </w:tcPr>
          <w:p>
            <w:r>
              <w:rPr>
                <w:b/>
                <w:color w:val="FFFFFF"/>
                <w:sz w:val="16"/>
              </w:rPr>
              <w:t>验收与资金</w:t>
            </w:r>
          </w:p>
        </w:tc>
      </w:tr>
      <w:tr>
        <w:tc>
          <w:tcPr>
            <w:tcW w:type="dxa" w:w="1656"/>
            <w:vAlign w:val="top"/>
          </w:tcPr>
          <w:p>
            <w:pPr>
              <w:spacing w:after="40"/>
            </w:pPr>
            <w:r>
              <w:rPr>
                <w:sz w:val="16"/>
              </w:rPr>
              <w:t>今天 03-07</w:t>
            </w:r>
          </w:p>
        </w:tc>
        <w:tc>
          <w:tcPr>
            <w:tcW w:type="dxa" w:w="6120"/>
            <w:vAlign w:val="top"/>
          </w:tcPr>
          <w:p>
            <w:pPr>
              <w:spacing w:after="40"/>
            </w:pPr>
            <w:r>
              <w:rPr>
                <w:sz w:val="16"/>
              </w:rPr>
              <w:t>启动FTC报告工作流；书面指定QI；保全证据；撤销可疑会话/令牌并轮换密钥；管理员/云/VPN MFA；集中关键日志与告警；启动云合同修订；向警方索取书面决定。</w:t>
            </w:r>
          </w:p>
        </w:tc>
        <w:tc>
          <w:tcPr>
            <w:tcW w:type="dxa" w:w="2376"/>
            <w:vAlign w:val="top"/>
          </w:tcPr>
          <w:p>
            <w:pPr>
              <w:spacing w:after="40"/>
            </w:pPr>
            <w:r>
              <w:rPr>
                <w:sz w:val="16"/>
              </w:rPr>
              <w:t>CEO、Dana Lee、QI、IT、取证商、外部律师、采购</w:t>
            </w:r>
          </w:p>
        </w:tc>
        <w:tc>
          <w:tcPr>
            <w:tcW w:type="dxa" w:w="3024"/>
            <w:vAlign w:val="top"/>
          </w:tcPr>
          <w:p>
            <w:pPr>
              <w:spacing w:after="40"/>
            </w:pPr>
            <w:r>
              <w:rPr>
                <w:sz w:val="16"/>
              </w:rPr>
              <w:t>$100,000应急不超额；任命书、保全链、配置/工单、事实核验表、执法书面请求</w:t>
            </w:r>
          </w:p>
        </w:tc>
      </w:tr>
      <w:tr>
        <w:tc>
          <w:tcPr>
            <w:tcW w:type="dxa" w:w="1656"/>
            <w:vAlign w:val="top"/>
          </w:tcPr>
          <w:p>
            <w:pPr>
              <w:spacing w:after="40"/>
            </w:pPr>
            <w:r>
              <w:rPr>
                <w:sz w:val="16"/>
              </w:rPr>
              <w:t>7天内 至03-14</w:t>
            </w:r>
          </w:p>
        </w:tc>
        <w:tc>
          <w:tcPr>
            <w:tcW w:type="dxa" w:w="6120"/>
            <w:vAlign w:val="top"/>
          </w:tcPr>
          <w:p>
            <w:pPr>
              <w:spacing w:after="40"/>
            </w:pPr>
            <w:r>
              <w:rPr>
                <w:sz w:val="16"/>
              </w:rPr>
              <w:t>完成初步范围/去重和密钥访问核验；风险清单与(d)(1)测试证据审查；全体数据系统MFA覆盖；云安全附录提案；针对性培训；形成自愿书面IRP/书面风险评估初稿；治理机构批准90日整改预算。</w:t>
            </w:r>
          </w:p>
        </w:tc>
        <w:tc>
          <w:tcPr>
            <w:tcW w:type="dxa" w:w="2376"/>
            <w:vAlign w:val="top"/>
          </w:tcPr>
          <w:p>
            <w:pPr>
              <w:spacing w:after="40"/>
            </w:pPr>
            <w:r>
              <w:rPr>
                <w:sz w:val="16"/>
              </w:rPr>
              <w:t>QI统筹；IT、HR、采购、合规、CFO</w:t>
            </w:r>
          </w:p>
        </w:tc>
        <w:tc>
          <w:tcPr>
            <w:tcW w:type="dxa" w:w="3024"/>
            <w:vAlign w:val="top"/>
          </w:tcPr>
          <w:p>
            <w:pPr>
              <w:spacing w:after="40"/>
            </w:pPr>
            <w:r>
              <w:rPr>
                <w:sz w:val="16"/>
              </w:rPr>
              <w:t>独立测试额度建议≤$25,000；全量MFA证据、风险登记、供应商材料、培训记录、预算决议</w:t>
            </w:r>
          </w:p>
        </w:tc>
      </w:tr>
      <w:tr>
        <w:tc>
          <w:tcPr>
            <w:tcW w:type="dxa" w:w="1656"/>
            <w:vAlign w:val="top"/>
          </w:tcPr>
          <w:p>
            <w:pPr>
              <w:spacing w:after="40"/>
            </w:pPr>
            <w:r>
              <w:rPr>
                <w:sz w:val="16"/>
              </w:rPr>
              <w:t>30天内（内部节点至04-06）</w:t>
            </w:r>
          </w:p>
        </w:tc>
        <w:tc>
          <w:tcPr>
            <w:tcW w:type="dxa" w:w="6120"/>
            <w:vAlign w:val="top"/>
          </w:tcPr>
          <w:p>
            <w:pPr>
              <w:spacing w:after="40"/>
            </w:pPr>
            <w:r>
              <w:rPr>
                <w:sz w:val="16"/>
              </w:rPr>
              <w:t>不等待该节点提交FTC：达到门槛时最迟04-02。完成第一轮控制验证、加密/密钥与供应商评估、整改台账和治理报告；按证据补充或更正已提交信息（如需）。</w:t>
            </w:r>
          </w:p>
        </w:tc>
        <w:tc>
          <w:tcPr>
            <w:tcW w:type="dxa" w:w="2376"/>
            <w:vAlign w:val="top"/>
          </w:tcPr>
          <w:p>
            <w:pPr>
              <w:spacing w:after="40"/>
            </w:pPr>
            <w:r>
              <w:rPr>
                <w:sz w:val="16"/>
              </w:rPr>
              <w:t>QI、Dana Lee、CEO/CFO、治理机构</w:t>
            </w:r>
          </w:p>
        </w:tc>
        <w:tc>
          <w:tcPr>
            <w:tcW w:type="dxa" w:w="3024"/>
            <w:vAlign w:val="top"/>
          </w:tcPr>
          <w:p>
            <w:pPr>
              <w:spacing w:after="40"/>
            </w:pPr>
            <w:r>
              <w:rPr>
                <w:sz w:val="16"/>
              </w:rPr>
              <w:t>测试报告、复测/风险接受、合同签署或替代计划、治理纪要、FTC回执/补充记录</w:t>
            </w:r>
          </w:p>
        </w:tc>
      </w:tr>
    </w:tbl>
    <w:p>
      <w:pPr>
        <w:pStyle w:val="Heading1"/>
      </w:pPr>
      <w:r>
        <w:t>六、敏感性与反事实C</w:t>
      </w:r>
    </w:p>
    <w:p>
      <w:r>
        <w:t>边界1—恰5000/550。 §314.6使用“fewer than five thousand”；恰5000不满足。因此(b)(1)、(d)(2)、(h)、(i)全部恢复适用。550通知结论、03-03发现日和04-02上限不变。负责人除原案动作外，应立即把书面风险评估、规定测试机制、书面IRP和年度书面报告列为法定义务，而非自愿项。</w:t>
      </w:r>
    </w:p>
    <w:p>
      <w:r>
        <w:t>边界2—4800/499。 少于5000的四项例外不变；若notification event恰涉及499名不同消费者，未达到§314.4(j)(1)“至少500”门槛，因此仅就该联邦条款不需FTC通报。仍须记录人数证据、继续调查并履行其余信息安全义务；人数后来达到500时应立即重新判断。</w:t>
      </w:r>
    </w:p>
    <w:p>
      <w:r>
        <w:t>独立反事实C—不要与原案相加。 三个导出记录数为A 320（1–320）、B 305（201–505）、C 200（401–600），记录条数相加825；全部导出去重仅600。A的密钥被取得，故A计入；B为明文，计入；C有效加密、密钥未泄露，且有可靠证据表明仅出现在C中的消费者明文未被取得，故C独有的506–600共95人不计。notification event集合是A∪B=1–505，即505名不同消费者。维护4800不豁免(j)，03-03 09:00已知，故须尽快且最迟04-02报告。该反事实若实际用于报告，人数应为505；原550草稿保持不变。</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17365D"/>
          </w:tcPr>
          <w:p>
            <w:r>
              <w:rPr>
                <w:b/>
                <w:color w:val="FFFFFF"/>
                <w:sz w:val="16"/>
              </w:rPr>
              <w:t>C集合项目</w:t>
            </w:r>
          </w:p>
        </w:tc>
        <w:tc>
          <w:tcPr>
            <w:tcW w:type="dxa" w:w="1728"/>
            <w:vAlign w:val="center"/>
            <w:shd w:fill="17365D"/>
          </w:tcPr>
          <w:p>
            <w:r>
              <w:rPr>
                <w:b/>
                <w:color w:val="FFFFFF"/>
                <w:sz w:val="16"/>
              </w:rPr>
              <w:t>人数</w:t>
            </w:r>
          </w:p>
        </w:tc>
        <w:tc>
          <w:tcPr>
            <w:tcW w:type="dxa" w:w="6624"/>
            <w:vAlign w:val="center"/>
            <w:shd w:fill="17365D"/>
          </w:tcPr>
          <w:p>
            <w:r>
              <w:rPr>
                <w:b/>
                <w:color w:val="FFFFFF"/>
                <w:sz w:val="16"/>
              </w:rPr>
              <w:t>门槛用途</w:t>
            </w:r>
          </w:p>
        </w:tc>
      </w:tr>
      <w:tr>
        <w:tc>
          <w:tcPr>
            <w:tcW w:type="dxa" w:w="4320"/>
            <w:vAlign w:val="top"/>
          </w:tcPr>
          <w:p>
            <w:pPr>
              <w:spacing w:after="40"/>
            </w:pPr>
            <w:r>
              <w:rPr>
                <w:sz w:val="16"/>
              </w:rPr>
              <w:t>A记录</w:t>
            </w:r>
          </w:p>
        </w:tc>
        <w:tc>
          <w:tcPr>
            <w:tcW w:type="dxa" w:w="1728"/>
            <w:vAlign w:val="top"/>
          </w:tcPr>
          <w:p>
            <w:pPr>
              <w:spacing w:after="40"/>
            </w:pPr>
            <w:r>
              <w:rPr>
                <w:sz w:val="16"/>
              </w:rPr>
              <w:t>320</w:t>
            </w:r>
          </w:p>
        </w:tc>
        <w:tc>
          <w:tcPr>
            <w:tcW w:type="dxa" w:w="6624"/>
            <w:vAlign w:val="top"/>
          </w:tcPr>
          <w:p>
            <w:pPr>
              <w:spacing w:after="40"/>
            </w:pPr>
            <w:r>
              <w:rPr>
                <w:sz w:val="16"/>
              </w:rPr>
              <w:t>密钥取得，计入</w:t>
            </w:r>
          </w:p>
        </w:tc>
      </w:tr>
      <w:tr>
        <w:tc>
          <w:tcPr>
            <w:tcW w:type="dxa" w:w="4320"/>
            <w:vAlign w:val="top"/>
          </w:tcPr>
          <w:p>
            <w:pPr>
              <w:spacing w:after="40"/>
            </w:pPr>
            <w:r>
              <w:rPr>
                <w:sz w:val="16"/>
              </w:rPr>
              <w:t>B记录</w:t>
            </w:r>
          </w:p>
        </w:tc>
        <w:tc>
          <w:tcPr>
            <w:tcW w:type="dxa" w:w="1728"/>
            <w:vAlign w:val="top"/>
          </w:tcPr>
          <w:p>
            <w:pPr>
              <w:spacing w:after="40"/>
            </w:pPr>
            <w:r>
              <w:rPr>
                <w:sz w:val="16"/>
              </w:rPr>
              <w:t>305</w:t>
            </w:r>
          </w:p>
        </w:tc>
        <w:tc>
          <w:tcPr>
            <w:tcW w:type="dxa" w:w="6624"/>
            <w:vAlign w:val="top"/>
          </w:tcPr>
          <w:p>
            <w:pPr>
              <w:spacing w:after="40"/>
            </w:pPr>
            <w:r>
              <w:rPr>
                <w:sz w:val="16"/>
              </w:rPr>
              <w:t>明文，计入</w:t>
            </w:r>
          </w:p>
        </w:tc>
      </w:tr>
      <w:tr>
        <w:tc>
          <w:tcPr>
            <w:tcW w:type="dxa" w:w="4320"/>
            <w:vAlign w:val="top"/>
          </w:tcPr>
          <w:p>
            <w:pPr>
              <w:spacing w:after="40"/>
            </w:pPr>
            <w:r>
              <w:rPr>
                <w:sz w:val="16"/>
              </w:rPr>
              <w:t>C记录</w:t>
            </w:r>
          </w:p>
        </w:tc>
        <w:tc>
          <w:tcPr>
            <w:tcW w:type="dxa" w:w="1728"/>
            <w:vAlign w:val="top"/>
          </w:tcPr>
          <w:p>
            <w:pPr>
              <w:spacing w:after="40"/>
            </w:pPr>
            <w:r>
              <w:rPr>
                <w:sz w:val="16"/>
              </w:rPr>
              <w:t>200</w:t>
            </w:r>
          </w:p>
        </w:tc>
        <w:tc>
          <w:tcPr>
            <w:tcW w:type="dxa" w:w="6624"/>
            <w:vAlign w:val="top"/>
          </w:tcPr>
          <w:p>
            <w:pPr>
              <w:spacing w:after="40"/>
            </w:pPr>
            <w:r>
              <w:rPr>
                <w:sz w:val="16"/>
              </w:rPr>
              <w:t>仅C独有95人因有效加密+可靠证据排除</w:t>
            </w:r>
          </w:p>
        </w:tc>
      </w:tr>
      <w:tr>
        <w:tc>
          <w:tcPr>
            <w:tcW w:type="dxa" w:w="4320"/>
            <w:vAlign w:val="top"/>
          </w:tcPr>
          <w:p>
            <w:pPr>
              <w:spacing w:after="40"/>
            </w:pPr>
            <w:r>
              <w:rPr>
                <w:sz w:val="16"/>
              </w:rPr>
              <w:t>记录合计</w:t>
            </w:r>
          </w:p>
        </w:tc>
        <w:tc>
          <w:tcPr>
            <w:tcW w:type="dxa" w:w="1728"/>
            <w:vAlign w:val="top"/>
          </w:tcPr>
          <w:p>
            <w:pPr>
              <w:spacing w:after="40"/>
            </w:pPr>
            <w:r>
              <w:rPr>
                <w:sz w:val="16"/>
              </w:rPr>
              <w:t>825</w:t>
            </w:r>
          </w:p>
        </w:tc>
        <w:tc>
          <w:tcPr>
            <w:tcW w:type="dxa" w:w="6624"/>
            <w:vAlign w:val="top"/>
          </w:tcPr>
          <w:p>
            <w:pPr>
              <w:spacing w:after="40"/>
            </w:pPr>
            <w:r>
              <w:rPr>
                <w:sz w:val="16"/>
              </w:rPr>
              <w:t>不得作为消费者人数</w:t>
            </w:r>
          </w:p>
        </w:tc>
      </w:tr>
      <w:tr>
        <w:tc>
          <w:tcPr>
            <w:tcW w:type="dxa" w:w="4320"/>
            <w:vAlign w:val="top"/>
          </w:tcPr>
          <w:p>
            <w:pPr>
              <w:spacing w:after="40"/>
            </w:pPr>
            <w:r>
              <w:rPr>
                <w:sz w:val="16"/>
              </w:rPr>
              <w:t>全部导出去重</w:t>
            </w:r>
          </w:p>
        </w:tc>
        <w:tc>
          <w:tcPr>
            <w:tcW w:type="dxa" w:w="1728"/>
            <w:vAlign w:val="top"/>
          </w:tcPr>
          <w:p>
            <w:pPr>
              <w:spacing w:after="40"/>
            </w:pPr>
            <w:r>
              <w:rPr>
                <w:sz w:val="16"/>
              </w:rPr>
              <w:t>600</w:t>
            </w:r>
          </w:p>
        </w:tc>
        <w:tc>
          <w:tcPr>
            <w:tcW w:type="dxa" w:w="6624"/>
            <w:vAlign w:val="top"/>
          </w:tcPr>
          <w:p>
            <w:pPr>
              <w:spacing w:after="40"/>
            </w:pPr>
            <w:r>
              <w:rPr>
                <w:sz w:val="16"/>
              </w:rPr>
              <w:t>仍含不属于通知事件的仅C人群</w:t>
            </w:r>
          </w:p>
        </w:tc>
      </w:tr>
      <w:tr>
        <w:tc>
          <w:tcPr>
            <w:tcW w:type="dxa" w:w="4320"/>
            <w:vAlign w:val="top"/>
          </w:tcPr>
          <w:p>
            <w:pPr>
              <w:spacing w:after="40"/>
            </w:pPr>
            <w:r>
              <w:rPr>
                <w:sz w:val="16"/>
              </w:rPr>
              <w:t>A∪B通知事件去重</w:t>
            </w:r>
          </w:p>
        </w:tc>
        <w:tc>
          <w:tcPr>
            <w:tcW w:type="dxa" w:w="1728"/>
            <w:vAlign w:val="top"/>
          </w:tcPr>
          <w:p>
            <w:pPr>
              <w:spacing w:after="40"/>
            </w:pPr>
            <w:r>
              <w:rPr>
                <w:sz w:val="16"/>
              </w:rPr>
              <w:t>505</w:t>
            </w:r>
          </w:p>
        </w:tc>
        <w:tc>
          <w:tcPr>
            <w:tcW w:type="dxa" w:w="6624"/>
            <w:vAlign w:val="top"/>
          </w:tcPr>
          <w:p>
            <w:pPr>
              <w:spacing w:after="40"/>
            </w:pPr>
            <w:r>
              <w:rPr>
                <w:sz w:val="16"/>
              </w:rPr>
              <w:t>§314.4(j)门槛人数</w:t>
            </w:r>
          </w:p>
        </w:tc>
      </w:tr>
    </w:tbl>
    <w:p>
      <w:pPr>
        <w:pStyle w:val="Heading2"/>
      </w:pPr>
      <w:r>
        <w:t>A密钥待核实的缺证分支（不改变给定基准C）</w:t>
      </w:r>
    </w:p>
    <w:p>
      <w:r>
        <w:t>若反事实中A密钥是否泄露尚待核实，可确认下界是明文B的305人；潜在上界是A∪B的505人。下界未达500，上界达到500，故报告结论取决于A：确认密钥被访问，或其他证据显示A明文被取得，则按505报告；形成可靠证据确认密钥未被访问且A明文没有或不可能被取得，则仅305，不触发§314.4(j)。证据不能在时限内消除不确定性时，应按潜在受影响505的上界升级给CEO和外部律师，并准备在原03-03时钟内提交；调查悬而未决不延长04-02。</w:t>
      </w:r>
    </w:p>
    <w:p>
      <w:pPr>
        <w:pStyle w:val="ListBullet"/>
      </w:pPr>
      <w:r>
        <w:t>立即提取并保全KMS/HSM密钥调用、IAM、云对象下载、临时凭证/令牌、密钥版本与轮换、内存/端点、导出副本及攻击者会话日志。</w:t>
      </w:r>
    </w:p>
    <w:p>
      <w:pPr>
        <w:pStyle w:val="ListBullet"/>
      </w:pPr>
      <w:r>
        <w:t>重建A、B、C按消费者编号的集合查询并由第二人复核；保留SQL/脚本、输入哈希、时间戳和结果。</w:t>
      </w:r>
    </w:p>
    <w:p>
      <w:pPr>
        <w:pStyle w:val="ListBullet"/>
      </w:pPr>
      <w:r>
        <w:t>判断标准不是“文件加密”标签，而是密钥是否被未经授权者访问及是否有可靠证据排除未经授权取得。</w:t>
      </w:r>
    </w:p>
    <w:p>
      <w:pPr>
        <w:pStyle w:val="Heading1"/>
      </w:pPr>
      <w:r>
        <w:t>七、DecisionAudit</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7365D"/>
          </w:tcPr>
          <w:p>
            <w:r>
              <w:rPr>
                <w:b/>
                <w:color w:val="FFFFFF"/>
                <w:sz w:val="16"/>
              </w:rPr>
              <w:t>ID</w:t>
            </w:r>
          </w:p>
        </w:tc>
        <w:tc>
          <w:tcPr>
            <w:tcW w:type="dxa" w:w="1584"/>
            <w:vAlign w:val="center"/>
            <w:shd w:fill="17365D"/>
          </w:tcPr>
          <w:p>
            <w:r>
              <w:rPr>
                <w:b/>
                <w:color w:val="FFFFFF"/>
                <w:sz w:val="16"/>
              </w:rPr>
              <w:t>结论</w:t>
            </w:r>
          </w:p>
        </w:tc>
        <w:tc>
          <w:tcPr>
            <w:tcW w:type="dxa" w:w="9504"/>
            <w:vAlign w:val="center"/>
            <w:shd w:fill="17365D"/>
          </w:tcPr>
          <w:p>
            <w:r>
              <w:rPr>
                <w:b/>
                <w:color w:val="FFFFFF"/>
                <w:sz w:val="16"/>
              </w:rPr>
              <w:t>理由与负责人动作</w:t>
            </w:r>
          </w:p>
        </w:tc>
      </w:tr>
      <w:tr>
        <w:tc>
          <w:tcPr>
            <w:tcW w:type="dxa" w:w="1584"/>
            <w:vAlign w:val="top"/>
          </w:tcPr>
          <w:p>
            <w:pPr>
              <w:spacing w:after="40"/>
            </w:pPr>
            <w:r>
              <w:rPr>
                <w:sz w:val="16"/>
              </w:rPr>
              <w:t>LAW-D1</w:t>
            </w:r>
          </w:p>
        </w:tc>
        <w:tc>
          <w:tcPr>
            <w:tcW w:type="dxa" w:w="1584"/>
            <w:vAlign w:val="top"/>
          </w:tcPr>
          <w:p>
            <w:pPr>
              <w:spacing w:after="40"/>
            </w:pPr>
            <w:r>
              <w:rPr>
                <w:sz w:val="16"/>
              </w:rPr>
              <w:t>驳回</w:t>
            </w:r>
          </w:p>
        </w:tc>
        <w:tc>
          <w:tcPr>
            <w:tcW w:type="dxa" w:w="9504"/>
            <w:vAlign w:val="top"/>
          </w:tcPr>
          <w:p>
            <w:pPr>
              <w:spacing w:after="40"/>
            </w:pPr>
            <w:r>
              <w:rPr>
                <w:sz w:val="16"/>
              </w:rPr>
              <w:t>不能相加三文件记录得825。必须先按§314.2(m)筛选，再按消费者去重；基准C为A∪B=505。数据负责人提供可复现集合证据，Dana Lee只使用去重人数。</w:t>
            </w:r>
          </w:p>
        </w:tc>
      </w:tr>
      <w:tr>
        <w:tc>
          <w:tcPr>
            <w:tcW w:type="dxa" w:w="1584"/>
            <w:vAlign w:val="top"/>
          </w:tcPr>
          <w:p>
            <w:pPr>
              <w:spacing w:after="40"/>
            </w:pPr>
            <w:r>
              <w:rPr>
                <w:sz w:val="16"/>
              </w:rPr>
              <w:t>LAW-D2</w:t>
            </w:r>
          </w:p>
        </w:tc>
        <w:tc>
          <w:tcPr>
            <w:tcW w:type="dxa" w:w="1584"/>
            <w:vAlign w:val="top"/>
          </w:tcPr>
          <w:p>
            <w:pPr>
              <w:spacing w:after="40"/>
            </w:pPr>
            <w:r>
              <w:rPr>
                <w:sz w:val="16"/>
              </w:rPr>
              <w:t>驳回</w:t>
            </w:r>
          </w:p>
        </w:tc>
        <w:tc>
          <w:tcPr>
            <w:tcW w:type="dxa" w:w="9504"/>
            <w:vAlign w:val="top"/>
          </w:tcPr>
          <w:p>
            <w:pPr>
              <w:spacing w:after="40"/>
            </w:pPr>
            <w:r>
              <w:rPr>
                <w:sz w:val="16"/>
              </w:rPr>
              <w:t>§314.6未豁免§314.4(j)。原案550与基准C 505均报告；4800/499仅因事件人数低于500而不触发该联邦门槛。</w:t>
            </w:r>
          </w:p>
        </w:tc>
      </w:tr>
    </w:tbl>
    <w:p>
      <w:r>
        <w:t>负责人行动差别：原案立即用550草稿推进；基准C若成为真实事实则另建505报告，不与550相加；A密钥缺证时立即按305–505区间升级取证，并以原发现日保留时钟。</w:t>
      </w:r>
    </w:p>
    <w:p>
      <w:pPr>
        <w:pStyle w:val="Heading1"/>
      </w:pPr>
      <w:r>
        <w:t>八、待核实范围与保留事项</w:t>
      </w:r>
    </w:p>
    <w:p>
      <w:pPr>
        <w:pStyle w:val="ListBullet"/>
      </w:pPr>
      <w:r>
        <w:t>州数据泄露、消费者通知、教育贷款/服务许可、合同、保险、支付网络及其他监管报告义务需按消费者居住地、数据定义和合同逐一核查；本意见不把它们作为已确定结论。</w:t>
      </w:r>
    </w:p>
    <w:p>
      <w:pPr>
        <w:pStyle w:val="ListBullet"/>
      </w:pPr>
      <w:r>
        <w:t>核实FTC电子表单当日字段、提交权限和任何公开处理；当前网页仅作引用辅助，冻结XML控制法律判断。</w:t>
      </w:r>
    </w:p>
    <w:p>
      <w:pPr>
        <w:pStyle w:val="ListBullet"/>
      </w:pPr>
      <w:r>
        <w:t>核实机构法定地址、日志时区、攻击路径、字段完整性、是否有更多副本/受影响者、服务商角色和警方联系人。</w:t>
      </w:r>
    </w:p>
    <w:p>
      <w:pPr>
        <w:pStyle w:val="ListBullet"/>
      </w:pPr>
      <w:r>
        <w:t>保持法律保密安排和证据保全，但不要以保密为由妨碍事实调查、法定提交或准确记录。</w:t>
      </w:r>
    </w:p>
    <w:p>
      <w:pPr>
        <w:pStyle w:val="Heading1"/>
      </w:pPr>
      <w:r>
        <w:t>九、主要来源与权重</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17365D"/>
          </w:tcPr>
          <w:p>
            <w:r>
              <w:rPr>
                <w:b/>
                <w:color w:val="FFFFFF"/>
                <w:sz w:val="16"/>
              </w:rPr>
              <w:t>来源</w:t>
            </w:r>
          </w:p>
        </w:tc>
        <w:tc>
          <w:tcPr>
            <w:tcW w:type="dxa" w:w="8208"/>
            <w:vAlign w:val="center"/>
            <w:shd w:fill="17365D"/>
          </w:tcPr>
          <w:p>
            <w:r>
              <w:rPr>
                <w:b/>
                <w:color w:val="FFFFFF"/>
                <w:sz w:val="16"/>
              </w:rPr>
              <w:t>用途/权重</w:t>
            </w:r>
          </w:p>
        </w:tc>
      </w:tr>
      <w:tr>
        <w:tc>
          <w:tcPr>
            <w:tcW w:type="dxa" w:w="4464"/>
            <w:vAlign w:val="top"/>
          </w:tcPr>
          <w:p>
            <w:pPr>
              <w:spacing w:after="40"/>
            </w:pPr>
            <w:r>
              <w:rPr>
                <w:sz w:val="16"/>
              </w:rPr>
              <w:t>eCFR_16_CFR_314_2025-01-01.xml</w:t>
            </w:r>
          </w:p>
        </w:tc>
        <w:tc>
          <w:tcPr>
            <w:tcW w:type="dxa" w:w="8208"/>
            <w:vAlign w:val="top"/>
          </w:tcPr>
          <w:p>
            <w:pPr>
              <w:spacing w:after="40"/>
            </w:pPr>
            <w:r>
              <w:rPr>
                <w:sz w:val="16"/>
              </w:rPr>
              <w:t>冻结于2025-01-01的16 CFR Part 314全文；本练习中优先于指南和当前网页；§§314.2, 314.3, 314.4, 314.5, 314.6</w:t>
            </w:r>
          </w:p>
        </w:tc>
      </w:tr>
      <w:tr>
        <w:tc>
          <w:tcPr>
            <w:tcW w:type="dxa" w:w="4464"/>
            <w:vAlign w:val="top"/>
          </w:tcPr>
          <w:p>
            <w:pPr>
              <w:spacing w:after="40"/>
            </w:pPr>
            <w:r>
              <w:rPr>
                <w:sz w:val="16"/>
              </w:rPr>
              <w:t>eCFR_16_CFR_314_2021-12-01.xml</w:t>
            </w:r>
          </w:p>
        </w:tc>
        <w:tc>
          <w:tcPr>
            <w:tcW w:type="dxa" w:w="8208"/>
            <w:vAlign w:val="top"/>
          </w:tcPr>
          <w:p>
            <w:pPr>
              <w:spacing w:after="40"/>
            </w:pPr>
            <w:r>
              <w:rPr>
                <w:sz w:val="16"/>
              </w:rPr>
              <w:t>2021-12-01旧XML，仅用于展示修订前的一般性五要素框架；不得作现行控制文本；§314.4（旧）</w:t>
            </w:r>
          </w:p>
        </w:tc>
      </w:tr>
      <w:tr>
        <w:tc>
          <w:tcPr>
            <w:tcW w:type="dxa" w:w="4464"/>
            <w:vAlign w:val="top"/>
          </w:tcPr>
          <w:p>
            <w:pPr>
              <w:spacing w:after="40"/>
            </w:pPr>
            <w:r>
              <w:rPr>
                <w:sz w:val="16"/>
              </w:rPr>
              <w:t>FR_2021-25736_Safeguards_Rule_Final.pdf</w:t>
            </w:r>
          </w:p>
        </w:tc>
        <w:tc>
          <w:tcPr>
            <w:tcW w:type="dxa" w:w="8208"/>
            <w:vAlign w:val="top"/>
          </w:tcPr>
          <w:p>
            <w:pPr>
              <w:spacing w:after="40"/>
            </w:pPr>
            <w:r>
              <w:rPr>
                <w:sz w:val="16"/>
              </w:rPr>
              <w:t>86 FR 70272（2021-12-09）；说明强化后的具体控制、少于5000消费者的列举例外及当时生效安排；86 FR 70272, 70300–70308</w:t>
            </w:r>
          </w:p>
        </w:tc>
      </w:tr>
      <w:tr>
        <w:tc>
          <w:tcPr>
            <w:tcW w:type="dxa" w:w="4464"/>
            <w:vAlign w:val="top"/>
          </w:tcPr>
          <w:p>
            <w:pPr>
              <w:spacing w:after="40"/>
            </w:pPr>
            <w:r>
              <w:rPr>
                <w:sz w:val="16"/>
              </w:rPr>
              <w:t>FR_2023-24412_Safeguards_Breach_Notification.pdf</w:t>
            </w:r>
          </w:p>
        </w:tc>
        <w:tc>
          <w:tcPr>
            <w:tcW w:type="dxa" w:w="8208"/>
            <w:vAlign w:val="top"/>
          </w:tcPr>
          <w:p>
            <w:pPr>
              <w:spacing w:after="40"/>
            </w:pPr>
            <w:r>
              <w:rPr>
                <w:sz w:val="16"/>
              </w:rPr>
              <w:t>88 FR 77499（2023-11-13）；解释500人门槛、30日、执法延期和最终规则文本；88 FR 77499, 77506–77509</w:t>
            </w:r>
          </w:p>
        </w:tc>
      </w:tr>
      <w:tr>
        <w:tc>
          <w:tcPr>
            <w:tcW w:type="dxa" w:w="4464"/>
            <w:vAlign w:val="top"/>
          </w:tcPr>
          <w:p>
            <w:pPr>
              <w:spacing w:after="40"/>
            </w:pPr>
            <w:r>
              <w:rPr>
                <w:sz w:val="16"/>
              </w:rPr>
              <w:t>fr_notification_publication.html</w:t>
            </w:r>
          </w:p>
        </w:tc>
        <w:tc>
          <w:tcPr>
            <w:tcW w:type="dxa" w:w="8208"/>
            <w:vAlign w:val="top"/>
          </w:tcPr>
          <w:p>
            <w:pPr>
              <w:spacing w:after="40"/>
            </w:pPr>
            <w:r>
              <w:rPr>
                <w:sz w:val="16"/>
              </w:rPr>
              <w:t>与2023修订同一公报的HTML原始页；载明修订自2024-05-13生效；DATES；§314.5</w:t>
            </w:r>
          </w:p>
        </w:tc>
      </w:tr>
      <w:tr>
        <w:tc>
          <w:tcPr>
            <w:tcW w:type="dxa" w:w="4464"/>
            <w:vAlign w:val="top"/>
          </w:tcPr>
          <w:p>
            <w:pPr>
              <w:spacing w:after="40"/>
            </w:pPr>
            <w:r>
              <w:rPr>
                <w:sz w:val="16"/>
              </w:rPr>
              <w:t>ftc_safeguards_guide.html</w:t>
            </w:r>
          </w:p>
        </w:tc>
        <w:tc>
          <w:tcPr>
            <w:tcW w:type="dxa" w:w="8208"/>
            <w:vAlign w:val="top"/>
          </w:tcPr>
          <w:p>
            <w:pPr>
              <w:spacing w:after="40"/>
            </w:pPr>
            <w:r>
              <w:rPr>
                <w:sz w:val="16"/>
              </w:rPr>
              <w:t>仅辅助检索/引用关系；指南自称规则文本为最佳来源；指向Part 314、§314.2、§314.4、§314.6的eCFR链接</w:t>
            </w:r>
          </w:p>
        </w:tc>
      </w:tr>
      <w:tr>
        <w:tc>
          <w:tcPr>
            <w:tcW w:type="dxa" w:w="4464"/>
            <w:vAlign w:val="top"/>
          </w:tcPr>
          <w:p>
            <w:pPr>
              <w:spacing w:after="40"/>
            </w:pPr>
            <w:r>
              <w:rPr>
                <w:sz w:val="16"/>
              </w:rPr>
              <w:t>ecfr_314_reference_page.html</w:t>
            </w:r>
          </w:p>
        </w:tc>
        <w:tc>
          <w:tcPr>
            <w:tcW w:type="dxa" w:w="8208"/>
            <w:vAlign w:val="top"/>
          </w:tcPr>
          <w:p>
            <w:pPr>
              <w:spacing w:after="40"/>
            </w:pPr>
            <w:r>
              <w:rPr>
                <w:sz w:val="16"/>
              </w:rPr>
              <w:t>仅验证引用，不替代冻结XML；Part 314页面快照</w:t>
            </w:r>
          </w:p>
        </w:tc>
      </w:tr>
      <w:tr>
        <w:tc>
          <w:tcPr>
            <w:tcW w:type="dxa" w:w="4464"/>
            <w:vAlign w:val="top"/>
          </w:tcPr>
          <w:p>
            <w:pPr>
              <w:spacing w:after="40"/>
            </w:pPr>
            <w:r>
              <w:rPr>
                <w:sz w:val="16"/>
              </w:rPr>
              <w:t>decision_constraints.json</w:t>
            </w:r>
          </w:p>
        </w:tc>
        <w:tc>
          <w:tcPr>
            <w:tcW w:type="dxa" w:w="8208"/>
            <w:vAlign w:val="top"/>
          </w:tcPr>
          <w:p>
            <w:pPr>
              <w:spacing w:after="40"/>
            </w:pPr>
            <w:r>
              <w:rPr>
                <w:sz w:val="16"/>
              </w:rPr>
              <w:t>明确假设及待审主张；不是法律来源；$.rules；$.unreviewed_internal_claims</w:t>
            </w:r>
          </w:p>
        </w:tc>
      </w:tr>
      <w:tr>
        <w:tc>
          <w:tcPr>
            <w:tcW w:type="dxa" w:w="4464"/>
            <w:vAlign w:val="top"/>
          </w:tcPr>
          <w:p>
            <w:pPr>
              <w:spacing w:after="40"/>
            </w:pPr>
            <w:r>
              <w:rPr>
                <w:sz w:val="16"/>
              </w:rPr>
              <w:t>用户题设</w:t>
            </w:r>
          </w:p>
        </w:tc>
        <w:tc>
          <w:tcPr>
            <w:tcW w:type="dxa" w:w="8208"/>
            <w:vAlign w:val="top"/>
          </w:tcPr>
          <w:p>
            <w:pPr>
              <w:spacing w:after="40"/>
            </w:pPr>
            <w:r>
              <w:rPr>
                <w:sz w:val="16"/>
              </w:rPr>
              <w:t>本练习假设事实；不是外部事件陈述；原4800/550案及边界条件</w:t>
            </w:r>
          </w:p>
        </w:tc>
      </w:tr>
    </w:tbl>
    <w:p>
      <w:r>
        <w:t>结论限定：本意见完全基于题设假设和本地提供材料，基准日为2025-03-07；所有机构、人员、日期和事件均为本练习假设，不应表述为现实事件。</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机密演练材料｜截至2025-03-07｜第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HARBOR EDUCATION FINANCE LLC｜假设演练法律行动意见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Microsoft Ya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icrosoft YaHe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Microsoft YaHe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eastAsia="Microsoft Ya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