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培训会预算批准建议</w:t>
      </w:r>
    </w:p>
    <w:p>
      <w:r>
        <w:t>原总预算基础对照：建议有条件选择Phoenix、24人，基础预算$48,737.60，5%储备$2,436.88，批准总额$51,174.48，余量$1,825.52。在材料补齐前不作采购承诺。 最终批准以文末分年度资金核验为准。</w:t>
      </w:r>
    </w:p>
    <w:p>
      <w:pPr>
        <w:pStyle w:val="Heading1"/>
      </w:pPr>
      <w:r>
        <w:t>方案比较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cantSplit/>
          <w:tblHeader/>
        </w:trPr>
        <w:tc>
          <w:tcPr>
            <w:tcW w:type="dxa" w:w="1234"/>
          </w:tcPr>
          <w:p>
            <w:r>
              <w:rPr>
                <w:sz w:val="18"/>
              </w:rPr>
              <w:t>城市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人数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基础费用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储备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批准总额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预算余量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压力总额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Chicago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43351.52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2167.58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45519.1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7480.9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47068.9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Chicago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54635.36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2731.77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57367.13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-4367.13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59433.53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Denver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42185.76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2109.29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44295.05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8704.95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45580.25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Denver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52747.68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2637.38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55385.06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-2385.06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57098.66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Phoenix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38553.2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1927.66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40480.86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12519.14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42408.66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Phoenix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48737.6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2436.88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51174.48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1825.52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53744.88</w:t>
            </w:r>
          </w:p>
        </w:tc>
      </w:tr>
    </w:tbl>
    <w:p>
      <w:pPr>
        <w:pStyle w:val="Heading1"/>
      </w:pPr>
      <w:r>
        <w:t>规则和证据</w:t>
      </w:r>
    </w:p>
    <w:p>
      <w:r>
        <w:t>GSA下载页实际引用FY2026工作簿；FY2025和餐费拆分文件同页可追溯。两财政年度在本题三地日期的住宿及M&amp;IE费率未发生变化；不同版本仍须分别匹配，原表行号见Daily/Sources。</w:t>
      </w:r>
    </w:p>
    <w:p>
      <w:r>
        <w:t>301-11.101：首末日75%；301-11.18：在降低后的额度扣整份供餐金额，杂费下限保留。301-11.17：酒店免费早餐不扣；301-74.21：茶歇不扣。住宿按218/209/155实际报价、四晚计费，12%税为内部假设，税不含在住宿上限中；本题报价均不超上限。</w:t>
      </w:r>
    </w:p>
    <w:p>
      <w:pPr>
        <w:pStyle w:val="Heading1"/>
      </w:pPr>
      <w:r>
        <w:t>压力措施</w:t>
      </w:r>
    </w:p>
    <w:p>
      <w:r>
        <w:t>机票上浮20%时首选含储备$53,744.88，预算余量$-744.88。可先锁定机票价格，无法锁定时申请$744.88追加额度；否则使用Phoenix、18人压力下仍可承受的方案（$42,408.66）。这属于内部预算建议。</w:t>
      </w:r>
    </w:p>
    <w:p>
      <w:pPr>
        <w:pStyle w:val="Heading1"/>
      </w:pPr>
      <w:r>
        <w:t>批准前补证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728"/>
          </w:tcPr>
          <w:p>
            <w:r>
              <w:rPr>
                <w:sz w:val="18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blocks_approval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旅行及报销授权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差旅审批员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行程、四晚单间报价、逐日费率和供餐记录；确认未申请超标准实际费用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订票/承诺费用之前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住宿与消防安全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会务协调员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确认场所符合301-74.9及适用安全要求的证明；不能仅凭价格推定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签约之前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场地采购与供餐范围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采购负责人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报价有效性、场地合同、注册与供餐不重复计费、内部采购程序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采购承诺之前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资金与压力情景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预算负责人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确认Phoenix 24人含储备51174.48；压力时批准追加资金或减至18人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资金承诺之前及出票时复核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实际费用授权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差旅审批员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本方案报价未超标准；若后续超标，应按301-11.300/.302申请，不能自动获准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发生超标费用前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条件阻断</w:t>
            </w:r>
          </w:p>
        </w:tc>
      </w:tr>
    </w:tbl>
    <w:p>
      <w:pPr>
        <w:pStyle w:val="Heading1"/>
      </w:pPr>
      <w:r>
        <w:t>假设边界</w:t>
      </w:r>
    </w:p>
    <w:p>
      <w:r>
        <w:t>表中报价、税率、人数和费用均为题设情景。未核验真实酒店、供应商、消防、采购程序或资金可用性；差旅与场地批准条件见登记表。</w:t>
      </w:r>
    </w:p>
    <w:p>
      <w:pPr>
        <w:pStyle w:val="Heading1"/>
      </w:pPr>
      <w:r>
        <w:t>分年度资金核验与最终批准</w:t>
      </w:r>
    </w:p>
    <w:p>
      <w:r>
        <w:t>这是内部管理归集与额度约束，不作联邦拨款法认定。原总额基础对照不等于最终资金批准。</w:t>
      </w:r>
    </w:p>
    <w:p>
      <w:r>
        <w:t>无需年度调整的最终最优方案：Phoenix 18人，总额40480.86，FY2025=33920.67，FY2026=6560.19，最低额度调整0.00</w:t>
      </w:r>
    </w:p>
    <w:p>
      <w:r>
        <w:t>额度调整获批后才可执行的最优方案：Phoenix 24人，总额51174.48，FY2025=42427.56，FY2026=8746.92，最低额度调整1427.56</w:t>
      </w:r>
    </w:p>
    <w:p>
      <w:r>
        <w:t>机票上涨20%且无年度调整的最优方案：Phoenix 18人，总额42408.66，FY2025=35848.47，FY2026=6560.19，最低额度调整0.00</w:t>
      </w:r>
    </w:p>
    <w:p>
      <w:r>
        <w:t>调整只在两年间移动额度，不能消除总成本超53000或FY2026自身不足。逐方案下界为max(0,FY2025总额-41000)，上界为min(1500,12000-FY2026总额)；下界大于上界即不可行。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attendees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minimum_transfer_to_FY2025</w:t>
            </w:r>
          </w:p>
        </w:tc>
        <w:tc>
          <w:tcPr>
            <w:tcW w:type="dxa" w:w="1440"/>
          </w:tcPr>
          <w:p>
            <w:r>
              <w:t>within_current_caps</w:t>
            </w:r>
          </w:p>
        </w:tc>
        <w:tc>
          <w:tcPr>
            <w:tcW w:type="dxa" w:w="1440"/>
          </w:tcPr>
          <w:p>
            <w:r>
              <w:t>feasible_if_transfer_approved</w:t>
            </w:r>
          </w:p>
        </w:tc>
      </w:tr>
      <w:tr>
        <w:tc>
          <w:tcPr>
            <w:tcW w:type="dxa" w:w="1440"/>
          </w:tcPr>
          <w:p>
            <w:r>
              <w:t>Chicago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Chicago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air_plus_20pct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Chicago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5905.1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Chicago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air_plus_20pct</w:t>
            </w:r>
          </w:p>
        </w:tc>
        <w:tc>
          <w:tcPr>
            <w:tcW w:type="dxa" w:w="1440"/>
          </w:tcPr>
          <w:p>
            <w:r>
              <w:t>7971.5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Denver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Denver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air_plus_20pct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Denver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4303.05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Denver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air_plus_20pct</w:t>
            </w:r>
          </w:p>
        </w:tc>
        <w:tc>
          <w:tcPr>
            <w:tcW w:type="dxa" w:w="1440"/>
          </w:tcPr>
          <w:p>
            <w:r>
              <w:t>6016.65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Phoenix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Phoenix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air_plus_20pct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Phoenix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1427.56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Phoenix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air_plus_20pct</w:t>
            </w:r>
          </w:p>
        </w:tc>
        <w:tc>
          <w:tcPr>
            <w:tcW w:type="dxa" w:w="1440"/>
          </w:tcPr>
          <w:p>
            <w:r>
              <w:t>3997.96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