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2020—2024年县域收入增长</w:t>
        <w:br/>
        <w:t>发布复核建议</w:t>
      </w:r>
    </w:p>
    <w:p>
      <w:pPr>
        <w:jc w:val="center"/>
      </w:pPr>
      <w:r>
        <w:rPr>
          <w:color w:val="595959"/>
          <w:sz w:val="18"/>
        </w:rPr>
        <w:t>致：研究负责人　｜　复核日期：2026年10月22日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>
              <w:rPr>
                <w:b/>
              </w:rPr>
              <w:t>建议：有条件发布。</w:t>
            </w:r>
            <w:r>
              <w:t xml:space="preserve"> 可发布3,082个直接可比地区的名义人均个人收入增长前20，但必须同步披露人口变化和小人口地区敏感性；62个地域版本或对应关系不完整的地区暂缓比较。</w:t>
            </w:r>
          </w:p>
        </w:tc>
      </w:tr>
    </w:tbl>
    <w:p>
      <w:pPr>
        <w:pStyle w:val="Heading1"/>
      </w:pPr>
      <w:r>
        <w:t>一、发布决定</w:t>
      </w:r>
    </w:p>
    <w:p>
      <w:pPr>
        <w:spacing w:after="80"/>
      </w:pPr>
      <w:r>
        <w:rPr>
          <w:b/>
          <w:color w:val="17365D"/>
        </w:rPr>
        <w:t>可以发布：</w:t>
      </w:r>
      <w:r>
        <w:t>在明确限定为“随附原件中3,082个可直接对应县级地区、2020—2024年名义人均个人收入增长”的前20榜单。两种人口来源给出的前20名单、次序和增长率完全一致，人口来源选择不改变领先地区判断。</w:t>
      </w:r>
    </w:p>
    <w:p>
      <w:pPr>
        <w:spacing w:after="80"/>
      </w:pPr>
      <w:r>
        <w:rPr>
          <w:b/>
          <w:color w:val="17365D"/>
        </w:rPr>
        <w:t>需要收窄：</w:t>
      </w:r>
      <w:r>
        <w:t>不要写成“全美所有县”或“实际收入/购买力增长”。应写成“可比样本内名义增长”；榜单应同时列总个人收入增长、人口增长和2024人口规模。</w:t>
      </w:r>
    </w:p>
    <w:p>
      <w:pPr>
        <w:spacing w:after="80"/>
      </w:pPr>
      <w:r>
        <w:rPr>
          <w:b/>
          <w:color w:val="17365D"/>
        </w:rPr>
        <w:t>暂缓发布：</w:t>
      </w:r>
      <w:r>
        <w:t>康涅狄格9个规划区、夏威夷2县以及弗吉尼亚51个县/独立市的单体比较。原件不能提供可审计的历史边界转换或组合拆分，不能用外部映射或比例分摊补造。</w:t>
      </w:r>
    </w:p>
    <w:p>
      <w:pPr>
        <w:spacing w:after="80"/>
      </w:pPr>
      <w:r>
        <w:rPr>
          <w:b/>
          <w:color w:val="17365D"/>
        </w:rPr>
        <w:t>不得推断：</w:t>
      </w:r>
      <w:r>
        <w:t>收入分项与人口变化仅解释算术构成和会计来源，不据此宣称某项收入或人口变化“导致”人均收入增长。</w:t>
      </w:r>
    </w:p>
    <w:p>
      <w:pPr>
        <w:pStyle w:val="Heading1"/>
      </w:pPr>
      <w:r>
        <w:t>二、支撑发布的关键证据</w:t>
      </w:r>
    </w:p>
    <w:p>
      <w:r>
        <w:rPr>
          <w:b/>
        </w:rPr>
        <w:t>覆盖与排除。</w:t>
      </w:r>
      <w:r>
        <w:t xml:space="preserve"> Census表含3,144条SUMLEV=050记录。3,082条满足同一5位FIPS、2020县代码版本可识别、两端收入与人口可用且业务口径可比。62条排除中，弗吉尼亚51条和夏威夷2条没有BEA同FIPS收入记录；康涅狄格9个规划区不在2020县代码表。</w:t>
      </w:r>
    </w:p>
    <w:p>
      <w:r>
        <w:rPr>
          <w:b/>
        </w:rPr>
        <w:t>人口来源稳健性。</w:t>
      </w:r>
      <w:r>
        <w:t xml:space="preserve"> 在全部3,082个可比地区，BEA与Census的2020、2024人口端点逐条相同；因此两榜并集=交集=20，所有名次变化为0，增长率差为0.00个百分点。第一名均为Texas的Loving County（123.22%），第20名均为Idaho的Blaine County（62.35%）；第21名为Colorado的San Miguel County（60.40%），与第20名相差1.95个百分点。</w:t>
      </w:r>
    </w:p>
    <w:p>
      <w:r>
        <w:rPr>
          <w:b/>
        </w:rPr>
        <w:t>人口对“领先”的含义。</w:t>
      </w:r>
      <w:r>
        <w:t xml:space="preserve"> 前20中14地人口下降，11地2024人口不足1万人。Loving County总个人收入增长59.92%，人口从67降至48（−28.36%），人均增长由人口分母变化额外抬高63.30个百分点至123.22%；King County总收入增长31.83%，人口从267降至215（−19.48%），人口影响为+31.88个百分点。相反，Turner County人口增长4.62%，使其人均增速比总收入增速低7.62个百分点。榜单可靠，但不能把高人均增速等同于广泛居民收入改善。</w:t>
      </w:r>
    </w:p>
    <w:p>
      <w:r>
        <w:rPr>
          <w:b/>
        </w:rPr>
        <w:t>收入来源。</w:t>
      </w:r>
      <w:r>
        <w:t xml:space="preserve"> 前20中15地的收入增量最大分项是居住地净收入，5地是股息、利息和租金。例外具有实质意义：Teton County收入增长77.60%，其中股息、利息和租金贡献64.48个百分点（占收入增量83.1%）；Summit County贡献48.95个百分点（66.3%）；Blaine County贡献55.68个百分点（81.3%）。这支持描述“收入增长构成不同”，不支持因果解释。</w:t>
      </w:r>
    </w:p>
    <w:p>
      <w:pPr>
        <w:pStyle w:val="Heading1"/>
      </w:pPr>
      <w:r>
        <w:t>三、建议采用的表述</w:t>
      </w:r>
    </w:p>
    <w:p>
      <w:pPr>
        <w:ind w:left="360" w:right="360"/>
      </w:pPr>
      <w:r>
        <w:rPr>
          <w:i/>
        </w:rPr>
        <w:t>“在可由2020县代码版本、BEA收入记录和Census县级人口记录直接对应的3,082个地区中，2020—2024年名义人均个人收入增长前20在BEA与Census两种人口来源下完全一致。部分领先地区人口规模很小或人口下降，排名反映总收入与人口分母的共同变化，不代表实际购买力，也不构成因果判断。”</w:t>
      </w:r>
    </w:p>
    <w:p>
      <w:pPr>
        <w:pStyle w:val="Heading1"/>
      </w:pPr>
      <w:r>
        <w:t>四、不确定性如何改变结论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复核项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对结论的影响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发布处理</w:t>
            </w:r>
          </w:p>
        </w:tc>
      </w:tr>
      <w:tr>
        <w:tc>
          <w:tcPr>
            <w:tcW w:type="dxa" w:w="3360"/>
            <w:vAlign w:val="top"/>
          </w:tcPr>
          <w:p>
            <w:r>
              <w:t>人口来源替换</w:t>
            </w:r>
          </w:p>
        </w:tc>
        <w:tc>
          <w:tcPr>
            <w:tcW w:type="dxa" w:w="3360"/>
            <w:vAlign w:val="top"/>
          </w:tcPr>
          <w:p>
            <w:r>
              <w:t>不改变</w:t>
            </w:r>
          </w:p>
        </w:tc>
        <w:tc>
          <w:tcPr>
            <w:tcW w:type="dxa" w:w="3360"/>
            <w:vAlign w:val="top"/>
          </w:tcPr>
          <w:p>
            <w:r>
              <w:t>端点逐条相同；前20名单、次序、增速均相同。可将榜单稳健性作为正式发现。</w:t>
            </w:r>
          </w:p>
        </w:tc>
      </w:tr>
      <w:tr>
        <w:tc>
          <w:tcPr>
            <w:tcW w:type="dxa" w:w="3360"/>
            <w:vAlign w:val="top"/>
          </w:tcPr>
          <w:p>
            <w:r>
              <w:t>地域版本与组合地区</w:t>
            </w:r>
          </w:p>
        </w:tc>
        <w:tc>
          <w:tcPr>
            <w:tcW w:type="dxa" w:w="3360"/>
            <w:vAlign w:val="top"/>
          </w:tcPr>
          <w:p>
            <w:r>
              <w:t>改变可比较范围</w:t>
            </w:r>
          </w:p>
        </w:tc>
        <w:tc>
          <w:tcPr>
            <w:tcW w:type="dxa" w:w="3360"/>
            <w:vAlign w:val="top"/>
          </w:tcPr>
          <w:p>
            <w:r>
              <w:t>62地不能进入同口径排名；若强行拆分或替代会引入无法由原件验证的假设。应暂缓这些地区，而不是扩大总体口径。</w:t>
            </w:r>
          </w:p>
        </w:tc>
      </w:tr>
      <w:tr>
        <w:tc>
          <w:tcPr>
            <w:tcW w:type="dxa" w:w="3360"/>
            <w:vAlign w:val="top"/>
          </w:tcPr>
          <w:p>
            <w:r>
              <w:t>小人口与人口下降</w:t>
            </w:r>
          </w:p>
        </w:tc>
        <w:tc>
          <w:tcPr>
            <w:tcW w:type="dxa" w:w="3360"/>
            <w:vAlign w:val="top"/>
          </w:tcPr>
          <w:p>
            <w:r>
              <w:t>不改变名次，但改变解读</w:t>
            </w:r>
          </w:p>
        </w:tc>
        <w:tc>
          <w:tcPr>
            <w:tcW w:type="dxa" w:w="3360"/>
            <w:vAlign w:val="top"/>
          </w:tcPr>
          <w:p>
            <w:r>
              <w:t>14/20人口下降，11/20人口不足1万人；应避免把人均增速直接描述为居民普遍增收。</w:t>
            </w:r>
          </w:p>
        </w:tc>
      </w:tr>
      <w:tr>
        <w:tc>
          <w:tcPr>
            <w:tcW w:type="dxa" w:w="3360"/>
            <w:vAlign w:val="top"/>
          </w:tcPr>
          <w:p>
            <w:r>
              <w:t>价格变化</w:t>
            </w:r>
          </w:p>
        </w:tc>
        <w:tc>
          <w:tcPr>
            <w:tcW w:type="dxa" w:w="3360"/>
            <w:vAlign w:val="top"/>
          </w:tcPr>
          <w:p>
            <w:r>
              <w:t>限制经济含义</w:t>
            </w:r>
          </w:p>
        </w:tc>
        <w:tc>
          <w:tcPr>
            <w:tcW w:type="dxa" w:w="3360"/>
            <w:vAlign w:val="top"/>
          </w:tcPr>
          <w:p>
            <w:r>
              <w:t>未提供平减指数，只能发布名义变化，不能发布实际购买力领先结论。</w:t>
            </w:r>
          </w:p>
        </w:tc>
      </w:tr>
      <w:tr>
        <w:tc>
          <w:tcPr>
            <w:tcW w:type="dxa" w:w="3360"/>
            <w:vAlign w:val="top"/>
          </w:tcPr>
          <w:p>
            <w:r>
              <w:t>收入分项</w:t>
            </w:r>
          </w:p>
        </w:tc>
        <w:tc>
          <w:tcPr>
            <w:tcW w:type="dxa" w:w="3360"/>
            <w:vAlign w:val="top"/>
          </w:tcPr>
          <w:p>
            <w:r>
              <w:t>支持构成描述，不支持因果</w:t>
            </w:r>
          </w:p>
        </w:tc>
        <w:tc>
          <w:tcPr>
            <w:tcW w:type="dxa" w:w="3360"/>
            <w:vAlign w:val="top"/>
          </w:tcPr>
          <w:p>
            <w:r>
              <w:t>CAINC4恒等式在榜单并集残差为0；可报告分项贡献，但不能称其为驱动因素的因果效应。</w:t>
            </w:r>
          </w:p>
        </w:tc>
      </w:tr>
    </w:tbl>
    <w:p>
      <w:pPr>
        <w:pStyle w:val="Heading1"/>
      </w:pPr>
      <w:r>
        <w:t>五、复核与追溯</w:t>
      </w:r>
    </w:p>
    <w:p>
      <w:r>
        <w:t>配套工作簿 county_income_review.xlsx 提供：</w:t>
      </w:r>
    </w:p>
    <w:p>
      <w:pPr>
        <w:pStyle w:val="ListBullet"/>
      </w:pPr>
      <w:r>
        <w:t>3,144条目标记录的收入、两种人口、资格状态、排名及源文件物理行号；</w:t>
      </w:r>
    </w:p>
    <w:p>
      <w:pPr>
        <w:pStyle w:val="ListBullet"/>
      </w:pPr>
      <w:r>
        <w:t>62条排除记录及逐条原因；</w:t>
      </w:r>
    </w:p>
    <w:p>
      <w:pPr>
        <w:pStyle w:val="ListBullet"/>
      </w:pPr>
      <w:r>
        <w:t>两种人口来源下的前20及并集排名比较；</w:t>
      </w:r>
    </w:p>
    <w:p>
      <w:pPr>
        <w:pStyle w:val="ListBullet"/>
      </w:pPr>
      <w:r>
        <w:t>榜单并集的收入分项贡献、人口影响和恒等式核验。</w:t>
      </w:r>
    </w:p>
    <w:p>
      <w:r>
        <w:rPr>
          <w:b/>
        </w:rPr>
        <w:t>口径提示：</w:t>
      </w:r>
      <w:r>
        <w:t>本复核仅使用随附四份原件，未联网补充地理映射或缺失数值。2020县代码表用于版本范围核对，不替代历史边界交叉表。本次比较为研究组拟议分析，不代表BEA或Census认可。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县域收入增长发布复核｜仅据随附原件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2020—2024年县域收入增长发布复核建议</dc:title>
  <dc:subject>名义人均收入、人口口径与地域版本复核</dc:subject>
  <dc:creator>区域经济研究组数据分析复核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