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8"/>
        </w:rPr>
        <w:t>县域收入增长研究 · 发布建议备忘</w:t>
      </w:r>
    </w:p>
    <w:p>
      <w:pPr>
        <w:jc w:val="center"/>
      </w:pPr>
      <w:r>
        <w:rPr>
          <w:color w:val="555555"/>
          <w:sz w:val="19"/>
        </w:rPr>
        <w:t>致研究负责人 | 复核范围：2020–2024年名义人均个人收入 | 配套数据集：county_income_review.xlsx</w:t>
      </w:r>
    </w:p>
    <w:p/>
    <w:p>
      <w:pPr>
        <w:spacing w:before="200" w:after="120"/>
      </w:pPr>
      <w:r>
        <w:rPr>
          <w:b/>
          <w:color w:val="1F4E78"/>
          <w:sz w:val="30"/>
        </w:rPr>
        <w:t>一、总体建议</w:t>
      </w:r>
    </w:p>
    <w:p>
      <w:pPr>
        <w:spacing w:after="60"/>
        <w:ind w:left="0"/>
      </w:pPr>
      <w:r>
        <w:rPr>
          <w:b/>
          <w:sz w:val="21"/>
        </w:rPr>
        <w:t>本简报的核心结论稳健，可以发布，但需按下列方式收窄表述。两项关键检验结果：</w:t>
      </w:r>
    </w:p>
    <w:p>
      <w:pPr>
        <w:spacing w:after="60"/>
      </w:pPr>
      <w:r>
        <w:rPr>
          <w:b/>
          <w:color w:val="1F4E78"/>
          <w:sz w:val="21"/>
        </w:rPr>
        <w:t>① 更换人口来源不改变结论：</w:t>
      </w:r>
      <w:r>
        <w:rPr>
          <w:sz w:val="21"/>
        </w:rPr>
        <w:t>BEA人口(CAINC1 LineCode 2)与Census人口估计(POPESTIMATE)在全部3144条县级记录、2020与2024两端逐条完全一致(差值均为0)。据此生成的两榜——BEA人口榜与Census人口榜——前20名成员、名次逐条相同(重叠20/20)。再改用Census另一口径ESTIMATESBASE2020作2020分母重排，前20仍完全一致(20/20)。"人均收入增长领先"名单对人口来源稳健。</w:t>
      </w:r>
    </w:p>
    <w:p>
      <w:pPr>
        <w:spacing w:after="60"/>
      </w:pPr>
      <w:r>
        <w:rPr>
          <w:b/>
          <w:color w:val="1F4E78"/>
          <w:sz w:val="21"/>
        </w:rPr>
        <w:t>② 排除不可直接比较地区不改变领先名单：</w:t>
      </w:r>
      <w:r>
        <w:rPr>
          <w:sz w:val="21"/>
        </w:rPr>
        <w:t>53条Census县级记录在BEA无同码地区(51条弗吉尼亚独立市/县、2条夏威夷Maui/Kalawao口径差异)，另有9条CT规划区BEA仅发布2024、缺2020，两端不可比。这62条已排除并留痕。BEA合并区域若强行计入，其增长率全部低于可比较榜第20名阈值(62.35%)，不会进入前20。</w:t>
      </w:r>
    </w:p>
    <w:p>
      <w:pPr>
        <w:spacing w:after="60"/>
        <w:ind w:left="0"/>
      </w:pPr>
      <w:r>
        <w:rPr>
          <w:b/>
          <w:color w:val="B03000"/>
          <w:sz w:val="21"/>
        </w:rPr>
        <w:t>因此：领先名单可发布；但必须收窄为"名义人均"并披露人口收缩与收入结构的作用，暂缓任何实际购买力或"居民致富/驱动"类因果表述。</w:t>
      </w:r>
    </w:p>
    <w:p>
      <w:pPr>
        <w:spacing w:before="200" w:after="120"/>
      </w:pPr>
      <w:r>
        <w:rPr>
          <w:b/>
          <w:color w:val="1F4E78"/>
          <w:sz w:val="30"/>
        </w:rPr>
        <w:t>二、可以发布的判断（附支持差异）</w:t>
      </w:r>
    </w:p>
    <w:p>
      <w:pPr>
        <w:pStyle w:val="ListBullet"/>
        <w:spacing w:after="40"/>
      </w:pPr>
      <w:r>
        <w:rPr>
          <w:sz w:val="21"/>
        </w:rPr>
        <w:t>【领先名单】2020–2024名义人均个人收入增长前20名成员与排序，在BEA人口口径、Census人口口径、以及Census另一2020基数三口径下完全一致。此名次不变本身即为有效发现，可直接发布。</w:t>
      </w:r>
    </w:p>
    <w:p>
      <w:pPr>
        <w:pStyle w:val="ListBullet"/>
        <w:spacing w:after="40"/>
      </w:pPr>
      <w:r>
        <w:rPr>
          <w:sz w:val="21"/>
        </w:rPr>
        <w:t>【口径一致性】BEA与Census县级人口在本样本两端逐条相等，说明本次"人均"分母无口径分歧，前20不因人口来源而变。可发布，作为稳健性证据。</w:t>
      </w:r>
    </w:p>
    <w:p>
      <w:pPr>
        <w:pStyle w:val="ListBullet"/>
        <w:spacing w:after="40"/>
      </w:pPr>
      <w:r>
        <w:rPr>
          <w:sz w:val="21"/>
        </w:rPr>
        <w:t>【覆盖与排除透明】3144条Census县级记录中3082条可比、53条不可直接比较、9条收入不完整，全部可追溯到FIPS与排除原因。可发布覆盖率与排除说明。</w:t>
      </w:r>
    </w:p>
    <w:p>
      <w:pPr>
        <w:pStyle w:val="ListBullet"/>
        <w:spacing w:after="40"/>
      </w:pPr>
      <w:r>
        <w:rPr>
          <w:sz w:val="21"/>
        </w:rPr>
        <w:t>【收入构成分解】对并集前20，个人收入增量按顶层加和拆分为净收益(均值占71.2%)、财产性收入(26.8%)、经常转移收入(2.0%)，恒等式(45+46+47=个人收入)在两端全部成立。可发布为"增长由何组成"。</w:t>
      </w:r>
    </w:p>
    <w:p>
      <w:pPr>
        <w:spacing w:before="200" w:after="120"/>
      </w:pPr>
      <w:r>
        <w:rPr>
          <w:b/>
          <w:color w:val="1F4E78"/>
          <w:sz w:val="30"/>
        </w:rPr>
        <w:t>三、需要收窄的表述</w:t>
      </w:r>
    </w:p>
    <w:p>
      <w:pPr>
        <w:spacing w:after="60"/>
      </w:pPr>
      <w:r>
        <w:rPr>
          <w:b/>
          <w:color w:val="1F4E78"/>
          <w:sz w:val="21"/>
        </w:rPr>
        <w:t>名义，非实际：</w:t>
      </w:r>
      <w:r>
        <w:rPr>
          <w:sz w:val="21"/>
        </w:rPr>
        <w:t>未提供平减指数，全部为名义人均收入增长，不代表实际购买力变化。所有领先结论须冠以"名义"。前20名义人均增长区间为62.4%–123.2%，而全部可比县中位数仅21.2%；在通胀背景下，二者的实际含义不可等同放大。</w:t>
      </w:r>
    </w:p>
    <w:p>
      <w:pPr>
        <w:spacing w:after="60"/>
      </w:pPr>
      <w:r>
        <w:rPr>
          <w:b/>
          <w:color w:val="1F4E78"/>
          <w:sz w:val="21"/>
        </w:rPr>
        <w:t>人均 ≠ 总量，人口收缩显著抬高人均：</w:t>
      </w:r>
      <w:r>
        <w:rPr>
          <w:sz w:val="21"/>
        </w:rPr>
        <w:t>并集前20中14个县2020–2024人口下降，8个县2020人口不足5000人。以Loving, TX为例：总收入增长59.9%，但因人口由67降至48(−28.4%)，人均增长被抬高至123.2%——人均增长比总收入增长高出63.3个百分点。若改按总收入增长排名，前20中仅16席重合，Skagway(AK)、King(TX)、Loving(TX)、Reeves(TX)退出，改由Benton(AR)、Teton(ID)、Piute(UT)、New Kent(VA)进入。故"人均领先"必须与"人口在收缩"并列陈述，不得读作"居民收入普遍快速提高"。</w:t>
      </w:r>
    </w:p>
    <w:p>
      <w:pPr>
        <w:spacing w:after="60"/>
      </w:pPr>
      <w:r>
        <w:rPr>
          <w:b/>
          <w:color w:val="1F4E78"/>
          <w:sz w:val="21"/>
        </w:rPr>
        <w:t>增长来源异质，勿混为一类：</w:t>
      </w:r>
      <w:r>
        <w:rPr>
          <w:sz w:val="21"/>
        </w:rPr>
        <w:t>并集前20中5个县(Teton WY、Summit UT、McMullen TX、Pitkin CO、Blaine ID)由财产性收入主导(财产性占个人收入增量≥50%)，多与度假/资产型经济相关；其余15县以净收益(工资+业主收入)为主。前20并非同质现象，发布时应区分，不宜合并为单一叙事。</w:t>
      </w:r>
    </w:p>
    <w:p>
      <w:pPr>
        <w:spacing w:before="200" w:after="120"/>
      </w:pPr>
      <w:r>
        <w:rPr>
          <w:b/>
          <w:color w:val="1F4E78"/>
          <w:sz w:val="30"/>
        </w:rPr>
        <w:t>四、应暂缓的比较</w:t>
      </w:r>
    </w:p>
    <w:p>
      <w:pPr>
        <w:pStyle w:val="ListBullet"/>
        <w:spacing w:after="40"/>
      </w:pPr>
      <w:r>
        <w:rPr>
          <w:sz w:val="21"/>
        </w:rPr>
        <w:t>【暂缓·实际收入/购买力】缺平减指数，暂缓一切"实际增长""购买力提升"表述与排名。</w:t>
      </w:r>
    </w:p>
    <w:p>
      <w:pPr>
        <w:pStyle w:val="ListBullet"/>
        <w:spacing w:after="40"/>
      </w:pPr>
      <w:r>
        <w:rPr>
          <w:sz w:val="21"/>
        </w:rPr>
        <w:t>【暂缓·不可直接比较的62条】53条边界/版本差异记录(弗吉尼亚独立市与合并区域、夏威夷Maui/Kalawao)与9条CT规划区(缺2020)，暂缓纳入任何跨县排名，直至取得可对应的历史边界交叉表或补齐两端收入。</w:t>
      </w:r>
    </w:p>
    <w:p>
      <w:pPr>
        <w:pStyle w:val="ListBullet"/>
        <w:spacing w:after="40"/>
      </w:pPr>
      <w:r>
        <w:rPr>
          <w:sz w:val="21"/>
        </w:rPr>
        <w:t>【暂缓·因果与机制归因】收入构成与人口变化仅说明"增长由何组成、受何影响"。暂缓将其表述为"某分项驱动增长""人口流失导致收入上升"等因果措辞；不宣称相关性即因果。</w:t>
      </w:r>
    </w:p>
    <w:p>
      <w:pPr>
        <w:pStyle w:val="ListBullet"/>
        <w:spacing w:after="40"/>
      </w:pPr>
      <w:r>
        <w:rPr>
          <w:sz w:val="21"/>
        </w:rPr>
        <w:t>【暂缓·小样本县的精确名次】并集前20多为极小人口县，分母微小使人均对个别记录高度敏感，暂缓对这些具体名次(尤其相邻名次)作强主张。</w:t>
      </w:r>
    </w:p>
    <w:p>
      <w:pPr>
        <w:spacing w:before="200" w:after="120"/>
      </w:pPr>
      <w:r>
        <w:rPr>
          <w:b/>
          <w:color w:val="1F4E78"/>
          <w:sz w:val="30"/>
        </w:rPr>
        <w:t>五、不确定性如何影响研究结论（而非通用免责）</w:t>
      </w:r>
    </w:p>
    <w:p>
      <w:pPr>
        <w:spacing w:after="60"/>
      </w:pPr>
      <w:r>
        <w:rPr>
          <w:b/>
          <w:color w:val="1F4E78"/>
          <w:sz w:val="21"/>
        </w:rPr>
        <w:t>人口口径：影响可忽略：</w:t>
      </w:r>
      <w:r>
        <w:rPr>
          <w:sz w:val="21"/>
        </w:rPr>
        <w:t>因BEA与Census人口逐条相等，人口来源这一不确定性对前20成员与名次无影响(0席变动)。这是本复核最强的稳健性结果，可明确向读者陈述不确定性已被排除，而非泛泛提示。</w:t>
      </w:r>
    </w:p>
    <w:p>
      <w:pPr>
        <w:spacing w:after="60"/>
      </w:pPr>
      <w:r>
        <w:rPr>
          <w:b/>
          <w:color w:val="1F4E78"/>
          <w:sz w:val="21"/>
        </w:rPr>
        <w:t>地域版本：影响被隔离且不触及领先名单：</w:t>
      </w:r>
      <w:r>
        <w:rPr>
          <w:sz w:val="21"/>
        </w:rPr>
        <w:t>62条不可比记录被排除；BEA合并区域即使计入也全部低于第20名阈值。因此"排除处理"不改变谁领先，仅改变可发布县域的覆盖边界(3082/3144)。影响局限在覆盖率与地区完整性，不波及核心排名。</w:t>
      </w:r>
    </w:p>
    <w:p>
      <w:pPr>
        <w:spacing w:after="60"/>
      </w:pPr>
      <w:r>
        <w:rPr>
          <w:b/>
          <w:color w:val="1F4E78"/>
          <w:sz w:val="21"/>
        </w:rPr>
        <w:t>名义/人口收缩：影响榜单构成本身：</w:t>
      </w:r>
      <w:r>
        <w:rPr>
          <w:sz w:val="21"/>
        </w:rPr>
        <w:t>这是最需读者警惕的不确定性——它不改变"名义人均"排名的计算，但改变排名代表的经济含义。人均榜与总收入榜前20仅16席重合，4席差异全部来自人口收缩(抬高人均)或人口增长(稀释人均)。若简报措辞让读者把"人均领先"误解为"经济总量/居民整体繁荣领先"，结论将失真。收窄表述是消除该风险的关键。</w:t>
      </w:r>
    </w:p>
    <w:p>
      <w:pPr>
        <w:spacing w:after="60"/>
      </w:pPr>
      <w:r>
        <w:rPr>
          <w:b/>
          <w:color w:val="1F4E78"/>
          <w:sz w:val="21"/>
        </w:rPr>
        <w:t>小样本敏感性：影响名次精度：</w:t>
      </w:r>
      <w:r>
        <w:rPr>
          <w:sz w:val="21"/>
        </w:rPr>
        <w:t>前20以微型县为主，人均对人口分母高度敏感；成员稳健(跨三口径不变)，但相邻名次的先后不宜过度解读。</w:t>
      </w:r>
    </w:p>
    <w:p/>
    <w:p>
      <w:r>
        <w:rPr>
          <w:i/>
          <w:color w:val="555555"/>
          <w:sz w:val="17"/>
        </w:rPr>
        <w:t>说明：本备忘基于随附四份原件在本地计算，未联网补造地理映射或缺失值；数据机构未对本次比较作背书。逐条可追溯的纳入/排除、双人口口径、前20与并集分解见 county_income_review.xlsx。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