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2020—2024县域收入增长发布复核</w:t>
      </w:r>
    </w:p>
    <w:p>
      <w:pPr>
        <w:pStyle w:val="Heading1"/>
      </w:pPr>
      <w:r>
        <w:t>发布建议</w:t>
      </w:r>
    </w:p>
    <w:p>
      <w:r>
        <w:t>建议同时发布两种人口口径的人均名义收入增长结果，不发布未经解释的唯一全国县域榜。Census目标集合3144个县级实体；其中3091个与两张BEA表直接同码，3082个符合本次两端增长比较条件。未直接对应者暂缓作县级增长比较，见覆盖表。</w:t>
      </w:r>
    </w:p>
    <w:p>
      <w:r>
        <w:t>两份前20榜单交集20个，并集20个。建议把人口来源和可比范围写入榜名与正文；重合部分不意味着两源采用完全相同估计口径，也不能证明实际购买力增长。</w:t>
      </w:r>
    </w:p>
    <w:p>
      <w:pPr>
        <w:pStyle w:val="Heading1"/>
      </w:pPr>
      <w:r>
        <w:t>需要收窄的结论</w:t>
      </w:r>
    </w:p>
    <w:p>
      <w:r>
        <w:t>总收入为千美元，人均为美元。人均变动同时受收入和人口分母影响；收入分项贡献是对总收入增幅的贡献，不是对人均增长的独立因果效应。采用对数恒等式解释收入与人口的关系，不把它称作识别了因果机制。</w:t>
      </w:r>
    </w:p>
    <w:p>
      <w:r>
        <w:t>2020县码表与2024人口估计原件并不代表相同地域版本；缺少官方交叉表时，不按相近名称拆分合并地区。未匹配地区既不能被记作零增长，也不能据缺失推断经济表现。</w:t>
      </w:r>
    </w:p>
    <w:p>
      <w:pPr>
        <w:pStyle w:val="Heading1"/>
      </w:pPr>
      <w:r>
        <w:t>实际排名差异</w:t>
      </w:r>
    </w:p>
    <w:p>
      <w:r>
        <w:t>02230 Skagway Municipality, AK*：BEA人口口径排名9、增长72.1693%；Census人口口径排名9、增长72.1693%。2024人口分别为1119与1119。来源及完整收入分项、对数人口影响见对应FIPS。</w:t>
      </w:r>
    </w:p>
    <w:p>
      <w:r>
        <w:t>08017 Cheyenne, CO：BEA人口口径排名14、增长69.4001%；Census人口口径排名14、增长69.4001%。2024人口分别为1712与1712。来源及完整收入分项、对数人口影响见对应FIPS。</w:t>
      </w:r>
    </w:p>
    <w:p>
      <w:r>
        <w:t>08097 Pitkin, CO：BEA人口口径排名15、增长68.4253%；Census人口口径排名15、增长68.4253%。2024人口分别为16643与16643。来源及完整收入分项、对数人口影响见对应FIPS。</w:t>
      </w:r>
    </w:p>
    <w:p>
      <w:r>
        <w:t>16013 Blaine, ID：BEA人口口径排名20、增长62.3508%；Census人口口径排名20、增长62.3508%。2024人口分别为25261与25261。来源及完整收入分项、对数人口影响见对应FIPS。</w:t>
      </w:r>
    </w:p>
    <w:p>
      <w:r>
        <w:t>19037 Chickasaw, IA：BEA人口口径排名12、增长70.1084%；Census人口口径排名12、增长70.1084%。2024人口分别为11719与11719。来源及完整收入分项、对数人口影响见对应FIPS。</w:t>
      </w:r>
    </w:p>
    <w:p>
      <w:pPr>
        <w:pStyle w:val="Heading1"/>
      </w:pPr>
      <w:r>
        <w:t>不能用清洗规则删除真实经济现象</w:t>
      </w:r>
    </w:p>
    <w:p>
      <w:r>
        <w:t>有0个符合总收入和人口增长条件的地区，至少一个收入分项在两端为零或负。本参考保留这些地区和负贡献；零或负分项不等于缺失，不妨碍正总收入的人均增长比较。只有分项缺失时相应贡献留空并说明，不能填零。</w:t>
      </w:r>
    </w:p>
    <w:p>
      <w:pPr>
        <w:pStyle w:val="Heading1"/>
      </w:pPr>
      <w:r>
        <w:t>发布前复核与局限</w:t>
      </w:r>
    </w:p>
    <w:p>
      <w:r>
        <w:t>工作簿保留两源地理名称、旧县码集合差异和原始记录编号，发布编辑应逐个检查榜单并集的地域含义。跨表核对、舍入残差和收入分项残差见年度表，舍入残差不是数据错误的自动证据。</w:t>
      </w:r>
    </w:p>
    <w:p>
      <w:r>
        <w:t>这是随附公开快照的回顾比较，未提供完整地域历史交叉表、价格指数或家庭层面分布数据。可以发布限定范围的名义收入事实，不能发布全体居民福利改善、通胀调整后增长或人口流动的因果结论。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