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银行经营表现与风险变化诊断</w:t>
      </w:r>
    </w:p>
    <w:p>
      <w:pPr>
        <w:jc w:val="center"/>
      </w:pPr>
      <w:r>
        <w:rPr>
          <w:i/>
          <w:color w:val="666666"/>
        </w:rPr>
        <w:t>北新英格兰样本：缅因州、新罕布什尔州、佛蒙特州</w:t>
      </w:r>
    </w:p>
    <w:p>
      <w:pPr>
        <w:jc w:val="center"/>
      </w:pPr>
      <w:r>
        <w:t>分析期：2022年3月31日至2025年6月30日 | 决策窗口：未来90天</w:t>
      </w:r>
    </w:p>
    <w:p/>
    <w:p>
      <w:pPr>
        <w:pStyle w:val="Heading1"/>
      </w:pPr>
      <w:r>
        <w:t>执行摘要</w:t>
      </w:r>
    </w:p>
    <w:p>
      <w:r>
        <w:rPr>
          <w:b/>
        </w:rPr>
        <w:t>管理判断。</w:t>
      </w:r>
      <w:r>
        <w:t>截至2025年6月30日，样本整体ROA为0.76%，非应计资产率为0.35%，净核销率为0.027%，总风险资本比率为14.21%。盈利较2024年同期0.66%回升，但仍低于2022年首季0.81%；与此同时，非应计率由2022年首季0.22%升至0.35%，而核销仍低，说明风险更多体现为问题资产积累而非已实现损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160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核心指标</w:t>
            </w:r>
          </w:p>
        </w:tc>
        <w:tc>
          <w:tcPr>
            <w:tcW w:type="dxa" w:w="1584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2022-03-31</w:t>
            </w:r>
          </w:p>
        </w:tc>
        <w:tc>
          <w:tcPr>
            <w:tcW w:type="dxa" w:w="1584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2024-06-30</w:t>
            </w:r>
          </w:p>
        </w:tc>
        <w:tc>
          <w:tcPr>
            <w:tcW w:type="dxa" w:w="1584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2025-06-30</w:t>
            </w:r>
          </w:p>
        </w:tc>
        <w:tc>
          <w:tcPr>
            <w:tcW w:type="dxa" w:w="4320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判断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ROA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0.81%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0.66%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0.76%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同比修复，未回到期初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非应计资产/资产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0.22%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0.30%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0.35%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同比与期初均恶化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净核销/贷款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0.016%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0.022%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0.027%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低位，尚未广泛兑现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总风险资本比率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15.14%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14.55%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14.21%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低于期初；仅正RWAJT报告者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贷款/存款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81.4%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96.3%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94.7%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资金余量较期初收窄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房地产贷款/贷款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87.3%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87.4%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87.3%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结构集中度持续高</w:t>
            </w:r>
          </w:p>
        </w:tc>
      </w:tr>
    </w:tbl>
    <w:p>
      <w:r>
        <w:rPr>
          <w:b/>
        </w:rPr>
        <w:t>建议的优先行动。</w:t>
      </w:r>
      <w:r>
        <w:t>未来90天启动“两阶段、六家一级复核”：先向Bangor Savings Bank、Union Bank、Merrimack County Savings Bank、Salem Co-operative Bank、Bar Harbor Savings and Loan Association及Walden Mutual Bank发出统一资料清单，再按信用、资金和资本交叉信号开展深挖。First Federal Savings and Loan Association of Bath、First Seacoast Bank及Piscataqua Savings Bank列为二级月度监测。</w:t>
      </w:r>
    </w:p>
    <w:p>
      <w:r>
        <w:drawing>
          <wp:inline xmlns:a="http://schemas.openxmlformats.org/drawingml/2006/main" xmlns:pic="http://schemas.openxmlformats.org/drawingml/2006/picture">
            <wp:extent cx="6675120" cy="2662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66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样本组合核心趋势（资产/贷款分母加权的比率合计）</w:t>
      </w:r>
    </w:p>
    <w:p>
      <w:pPr>
        <w:pStyle w:val="Heading1"/>
      </w:pPr>
      <w:r>
        <w:t>1. 范围、覆盖与可复核性</w:t>
      </w:r>
    </w:p>
    <w:p>
      <w:pPr>
        <w:pStyle w:val="ListBullet"/>
      </w:pPr>
      <w:r>
        <w:t>样本含54个唯一CERT、746个银行季度；14个季末。单季机构数51–54家，2025年6月末为52家。</w:t>
      </w:r>
    </w:p>
    <w:p>
      <w:pPr>
        <w:pStyle w:val="ListBullet"/>
      </w:pPr>
      <w:r>
        <w:t>三家在期初后进入财务样本：Fidelity Personal Trust Company, FSB、Walden Mutual Bank、Bank of Burlington；Northway Bank和Gorham Savings Bank在2024年末后退出期末样本。进入/退出不自动等同于新设、并购或失败。</w:t>
      </w:r>
    </w:p>
    <w:p>
      <w:pPr>
        <w:pStyle w:val="ListBullet"/>
      </w:pPr>
      <w:r>
        <w:t>机构文件是较晚时点快照，仅用于CERT、名称、州、牌照和互助制属性映射；ACTIVE不得回填为历史状态。</w:t>
      </w:r>
    </w:p>
    <w:p>
      <w:pPr>
        <w:pStyle w:val="ListBullet"/>
      </w:pPr>
      <w:r>
        <w:t>主表与官方补充表均为746行，CERT/REPDTE键完全一致，全部重叠字段零差异。补充表提供平均资产、年化收益、平均贷款、年化核销、风险资本及风险加权资产。</w:t>
      </w:r>
    </w:p>
    <w:p>
      <w:pPr>
        <w:pStyle w:val="ListBullet"/>
      </w:pPr>
      <w:r>
        <w:t>本分析是基于所给快照的回顾分析，不是分析期末当时可得信息回测；结论只适用于该样本。</w:t>
      </w:r>
    </w:p>
    <w:p>
      <w:pPr>
        <w:pStyle w:val="Heading1"/>
      </w:pPr>
      <w:r>
        <w:t>2. 组合经营与风险演变</w:t>
      </w:r>
    </w:p>
    <w:p>
      <w:pPr>
        <w:pStyle w:val="Heading2"/>
      </w:pPr>
      <w:r>
        <w:t>2.1 盈利：2023–2024压缩，2025年二季度局部修复</w:t>
      </w:r>
    </w:p>
    <w:p>
      <w:r>
        <w:t>组合ROA由2022年首季0.81%降至2024年二季度0.66%，2025年二季度回升至0.76%。同期贷款/存款比由81.4%升至94.7%，符合存款竞争或资产负债重定价错配压缩利润的解释；多家持续落后机构的净息差亦明显偏低。</w:t>
      </w:r>
    </w:p>
    <w:p>
      <w:r>
        <w:rPr>
          <w:b/>
        </w:rPr>
        <w:t>竞争性解释。</w:t>
      </w:r>
      <w:r>
        <w:t>（1）资金成本上升和固定利率资产重定价滞后：由贷款/存款比上升、Salem、Piscataqua、Bar Harbor S&amp;L等低净息差支持；（2）一次性费用、并购或证券损失：公开快照缺少非利息费用和交易明细，仍需验证；（3）信用成本：组合核销率低且2025Q2拨备代理ELNATRY不宜单独解释，因此当前证据更支持“利差/成本压力为主、信用成本为辅”，但不能认定因果。</w:t>
      </w:r>
    </w:p>
    <w:p>
      <w:pPr>
        <w:pStyle w:val="Heading2"/>
      </w:pPr>
      <w:r>
        <w:t>2.2 信用：非应计先行恶化，核销尚未同步</w:t>
      </w:r>
    </w:p>
    <w:p>
      <w:r>
        <w:t>非应计资产率从0.22%升至0.35%，2025年二季度环比亦上升；净核销率仅0.027%。这可能是风险迁徙处于早期、抵押物支持延缓损失确认，亦可能受少数大额贷款和分类时点影响。Bangor Savings的非应计率一年内由0.06%升至0.46%，Union Bank由0.13%升至1.03%；Merrimack County Savings的非应计率长期约0.5%–0.7%，且2024年末核销率曾显著抬升。</w:t>
      </w:r>
    </w:p>
    <w:p>
      <w:r>
        <w:rPr>
          <w:b/>
        </w:rPr>
        <w:t>仍需验证。</w:t>
      </w:r>
      <w:r>
        <w:t>公开聚合数据不能区分业主自用与非业主自用CRE、建筑开发、单户住宅或单一借款人，也不含内部风险评级迁徙、逾期豁免、修改贷款、抵押物重估和ACL定性调整；因此不能由房地产占比直接推断损失。</w:t>
      </w:r>
    </w:p>
    <w:p>
      <w:pPr>
        <w:pStyle w:val="Heading2"/>
      </w:pPr>
      <w:r>
        <w:t>2.3 资本与资金：组合缓冲低于期初，机构间差异大</w:t>
      </w:r>
    </w:p>
    <w:p>
      <w:r>
        <w:t>正RWAJT报告者的总风险资本比率由15.14%降至14.21%。Bangor Savings为11.15%、Union Bank为12.62%，且二者权益/资产分别仅6.37%和5.85%；这使信用恶化更值得优先核实。15家期末RWAJT为零，模型不把其总风险资本比率当作0%，而改以权益/资产作有限的分流信号。</w:t>
      </w:r>
    </w:p>
    <w:p>
      <w:r>
        <w:t>组合贷款/存款比为94.7%，较期初高13.3个百分点。Salem（121.4%）、Bar Harbor S&amp;L（118.3%）等机构更依赖存款以外资金或拥有较小存款基数；公开快照无法判断批发融资期限、抵押能力、未保险存款或存款成本。</w:t>
      </w:r>
    </w:p>
    <w:p>
      <w:pPr>
        <w:pStyle w:val="Heading2"/>
      </w:pPr>
      <w:r>
        <w:t>2.4 贷款结构与增长</w:t>
      </w:r>
    </w:p>
    <w:p>
      <w:r>
        <w:t>房地产贷款占组合贷款87.3%，从期初87.3%基本持平，显示结构性集中而非近期突变。Walden Mutual一年贷款增长106.7%、存款增长49.8%，同时ROA仍为-0.24%、非应计率1.94%；Northeast Bank等高增长银行虽存在增速信号，但盈利和资本较强，故未机械列入一级范围。</w:t>
      </w:r>
    </w:p>
    <w:p>
      <w:pPr>
        <w:pStyle w:val="Heading1"/>
      </w:pPr>
      <w:r>
        <w:t>3. 变化归因：自身表现、权重与样本构成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2376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080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期初</w:t>
            </w:r>
          </w:p>
        </w:tc>
        <w:tc>
          <w:tcPr>
            <w:tcW w:type="dxa" w:w="1080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期末</w:t>
            </w:r>
          </w:p>
        </w:tc>
        <w:tc>
          <w:tcPr>
            <w:tcW w:type="dxa" w:w="1152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总变化pp</w:t>
            </w:r>
          </w:p>
        </w:tc>
        <w:tc>
          <w:tcPr>
            <w:tcW w:type="dxa" w:w="1512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持续机构表现</w:t>
            </w:r>
          </w:p>
        </w:tc>
        <w:tc>
          <w:tcPr>
            <w:tcW w:type="dxa" w:w="1512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持续机构权重</w:t>
            </w:r>
          </w:p>
        </w:tc>
        <w:tc>
          <w:tcPr>
            <w:tcW w:type="dxa" w:w="1584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进入/退出构成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ROA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0.807%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0.758%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-0.049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6"/>
              </w:rPr>
              <w:t>-0.187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6"/>
              </w:rPr>
              <w:t>+0.069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+0.068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Nonaccrual assets / assets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0.220%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0.353%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+0.133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6"/>
              </w:rPr>
              <w:t>+0.114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6"/>
              </w:rPr>
              <w:t>+0.025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-0.005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Net charge-offs / loans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0.016%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0.027%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+0.010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6"/>
              </w:rPr>
              <w:t>+0.009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6"/>
              </w:rPr>
              <w:t>+0.002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-0.000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Total risk-based capital ratio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15.139%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14.215%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-0.924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6"/>
              </w:rPr>
              <w:t>-1.228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6"/>
              </w:rPr>
              <w:t>+0.166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+0.138</w:t>
            </w:r>
          </w:p>
        </w:tc>
      </w:tr>
    </w:tbl>
    <w:p>
      <w:r>
        <w:t>解释：持续机构表现使用期初/期末平均权重，权重项使用期初/期末平均比率；进入与退出为期末/期初组合相对持续机构子组合的差。各项精确相加为总变化。RBC仅含RWAJT&gt;0报告者，因而其构成项也包含报告者集合变化。</w:t>
      </w:r>
    </w:p>
    <w:p>
      <w:pPr>
        <w:pStyle w:val="ListBullet"/>
      </w:pPr>
      <w:r>
        <w:t>ROA：总变化-0.049个百分点，绝对贡献最大的是持续机构表现；不能仅把组合变化归因于银行自身经营。</w:t>
      </w:r>
    </w:p>
    <w:p>
      <w:pPr>
        <w:pStyle w:val="ListBullet"/>
      </w:pPr>
      <w:r>
        <w:t>Nonaccrual assets / assets：总变化+0.133个百分点，绝对贡献最大的是持续机构表现；不能仅把组合变化归因于银行自身经营。</w:t>
      </w:r>
    </w:p>
    <w:p>
      <w:pPr>
        <w:pStyle w:val="ListBullet"/>
      </w:pPr>
      <w:r>
        <w:t>Net charge-offs / loans：总变化+0.010个百分点，绝对贡献最大的是持续机构表现；不能仅把组合变化归因于银行自身经营。</w:t>
      </w:r>
    </w:p>
    <w:p>
      <w:pPr>
        <w:pStyle w:val="ListBullet"/>
      </w:pPr>
      <w:r>
        <w:t>Total risk-based capital ratio：总变化-0.924个百分点，绝对贡献最大的是持续机构表现；不能仅把组合变化归因于银行自身经营。</w:t>
      </w:r>
    </w:p>
    <w:p>
      <w:pPr>
        <w:pStyle w:val="Heading1"/>
      </w:pPr>
      <w:r>
        <w:t>4. 同类比较与持续落后机构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机构</w:t>
            </w:r>
          </w:p>
        </w:tc>
        <w:tc>
          <w:tcPr>
            <w:tcW w:type="dxa" w:w="4320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证据信号</w:t>
            </w:r>
          </w:p>
        </w:tc>
        <w:tc>
          <w:tcPr>
            <w:tcW w:type="dxa" w:w="4032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综合判断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Bangor Savings Bank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ROA 0.11%；非应计0.46%；RBC 11.15%；资产$7.34bn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规模最大且资本、盈利、信用三维交叉，组合影响高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Union Bank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非应计1.03%；RBC 12.62%；权益/资产5.85%；L/D 100.6%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信用跳升叠加较薄资本和资金约束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Merrimack County Savings Bank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ROA 0.26%；非应计0.57%；NCO 0.075%；L/D 104.3%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低盈利与问题资产持续，非单季异常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Salem Co-operative Bank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连续自2023Q1亏损；NIM 1.92%；L/D 121.4%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主要是持续盈利/资金模型压力，信用尚非首要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Bar Harbor Savings and Loan Association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ROA 0.00%；非应计1.37%；L/D 118.3%；RE占比99.8%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小规模但多项极端且持续，需核实可持续性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Walden Mutual Bank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ROA -0.24%；非应计1.94%；贷款YoY +106.7%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新设/早期扩张特征；增长、信用与盈利交叉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First Federal S&amp;L of Bath（二级）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非应计1.67%；逾期2.28%；RBC 27.17%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信用指标弱但资本缓冲强，先监测和定向抽查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First Seacoast / Piscataqua（二级）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ROA分别-0.39%/-0.30%；低NIM；信用损失有限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盈利持续弱，先验证商业模式与一次性项目</w:t>
            </w:r>
          </w:p>
        </w:tc>
      </w:tr>
    </w:tbl>
    <w:p>
      <w:pPr>
        <w:pStyle w:val="Heading1"/>
      </w:pPr>
      <w:r>
        <w:t>5. 建议与90天行动方案</w:t>
      </w:r>
    </w:p>
    <w:p>
      <w:pPr>
        <w:pStyle w:val="Heading2"/>
      </w:pPr>
      <w:r>
        <w:t>组合层面</w:t>
      </w:r>
    </w:p>
    <w:p>
      <w:pPr>
        <w:pStyle w:val="ListBullet"/>
      </w:pPr>
      <w:r>
        <w:t>统一数据包：问题贷款明细、内部评级迁徙、修改/展期、ACL桥接、CRE细分、十大存款关系、未保险存款、批发融资和可用流动性。</w:t>
      </w:r>
    </w:p>
    <w:p>
      <w:pPr>
        <w:pStyle w:val="ListBullet"/>
      </w:pPr>
      <w:r>
        <w:t>建立月度触发器：非应计率环比+10bp、30–89天逾期+15bp、ROA&lt;0、贷款/存款&gt;110%、总RBC下降50bp或权益/资产下降25bp触发升级；阈值为内部管理门槛，不是监管标准。</w:t>
      </w:r>
    </w:p>
    <w:p>
      <w:pPr>
        <w:pStyle w:val="ListBullet"/>
      </w:pPr>
      <w:r>
        <w:t>把组合监测从简单平均改为比率合计、机构中位数和贡献度并列；每季重做持续机构/构成归因。</w:t>
      </w:r>
    </w:p>
    <w:p>
      <w:pPr>
        <w:pStyle w:val="ListBullet"/>
      </w:pPr>
      <w:r>
        <w:t>对房地产集中采用细分限额与压力情景，而非仅以总RE占比判断；将抵押物估值时点和DSCR迁徙纳入。</w:t>
      </w:r>
    </w:p>
    <w:p>
      <w:pPr>
        <w:pStyle w:val="Heading2"/>
      </w:pPr>
      <w:r>
        <w:t>机构层面与推荐顺序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时点</w:t>
            </w:r>
          </w:p>
        </w:tc>
        <w:tc>
          <w:tcPr>
            <w:tcW w:type="dxa" w:w="6192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行动</w:t>
            </w:r>
          </w:p>
        </w:tc>
        <w:tc>
          <w:tcPr>
            <w:tcW w:type="dxa" w:w="3024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负责人/产出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第0–15天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向六家一级机构发统一资料清单；确认数据异常、一次性项目和RBC缺失原因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组合风险负责人；完整性清单与例外日志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第16–45天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Bangor/Union/Merrimack做信用文件与迁徙深挖；Salem/Bar Harbor S&amp;L做盈利与资金深挖；Walden做增长治理与首批贷款抽样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信用、资金、财务三条工作流；机构诊断页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第46–60天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与管理层核对根因、风险偏好和可量化修复里程碑；必要时扩大样本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管理层会议纪要；整改方案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第61–90天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月度监测触发器、复核承诺完成度；决定维持、降级或升级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90天复评备忘录</w:t>
            </w:r>
          </w:p>
        </w:tc>
      </w:tr>
    </w:tbl>
    <w:p>
      <w:r>
        <w:rPr>
          <w:b/>
        </w:rPr>
        <w:t>推荐方案：</w:t>
      </w:r>
      <w:r>
        <w:t>采用上述六家一级、三家二级的分层方案。它兼顾组合影响（Bangor）、资本承受力（Bangor/Union）、持续信用弱化（Merrimack）、盈利和资金模型（Salem/Bar Harbor S&amp;L）及高速增长的新银行风险（Walden），比单纯追逐最高非应计率更能有效配置复核资源。</w:t>
      </w:r>
    </w:p>
    <w:p>
      <w:pPr>
        <w:pStyle w:val="Heading1"/>
      </w:pPr>
      <w:r>
        <w:t>6. 假设、限制与使用边界</w:t>
      </w:r>
    </w:p>
    <w:p>
      <w:pPr>
        <w:pStyle w:val="ListBullet"/>
      </w:pPr>
      <w:r>
        <w:t>FDIC字段定义和单位按随附官方定义文件使用；源金额视为千美元。年化流量比率可受季节性和年内累计/年化处理影响。</w:t>
      </w:r>
    </w:p>
    <w:p>
      <w:pPr>
        <w:pStyle w:val="ListBullet"/>
      </w:pPr>
      <w:r>
        <w:t>零或负净核销可反映回收；零RWAJT不视为零资本。互助制、储蓄机构等报告口径差异可能影响可比性。</w:t>
      </w:r>
    </w:p>
    <w:p>
      <w:pPr>
        <w:pStyle w:val="ListBullet"/>
      </w:pPr>
      <w:r>
        <w:t>风险评分是样本内百分位分流，不是违约概率、估值、监管评级或投资建议；权重是管理选择，已在工作簿披露。</w:t>
      </w:r>
    </w:p>
    <w:p>
      <w:pPr>
        <w:pStyle w:val="ListBullet"/>
      </w:pPr>
      <w:r>
        <w:t>观察到的同期变化支持假设但不能证明因果。宏观利率、地区房地产、管理行动和并购因素未在所给快照中直接识别。</w:t>
      </w:r>
    </w:p>
    <w:p>
      <w:pPr>
        <w:pStyle w:val="ListBullet"/>
      </w:pPr>
      <w:r>
        <w:t>机构快照晚于分析期末；ACTIVE等状态不回溯。2026版FDIC手册仅作当前复核指导。</w:t>
      </w:r>
    </w:p>
    <w:p>
      <w:pPr>
        <w:pStyle w:val="ListBullet"/>
      </w:pPr>
      <w:r>
        <w:t>结论只适用于所给ME/NH/VT样本，不外推至全国银行业。</w:t>
      </w:r>
    </w:p>
    <w:p>
      <w:r>
        <w:rPr>
          <w:b/>
        </w:rPr>
        <w:t>资料来源与口径：</w:t>
      </w:r>
      <w:r>
        <w:t>随附FDIC财务主快照及官方补充快照、机构快照和字段定义；FDIC RMS Manual of Examination Policies §3.2（文件版本3-2026，第3–8、44–48、57–59页）与OCC Rating Credit Risk booklet（所附版本）仅用于设计复核问题。金额为千美元，比例为百分比或百分点。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内部管理用途 | 假设性区域银行组合评估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