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优先跟进简报</w:t>
      </w:r>
    </w:p>
    <w:p>
      <w:pPr>
        <w:jc w:val="center"/>
      </w:pPr>
      <w:r>
        <w:rPr>
          <w:i/>
          <w:color w:val="666666"/>
        </w:rPr>
        <w:t>六家一级复核范围与未来90天管理安排</w:t>
      </w:r>
    </w:p>
    <w:p>
      <w:pPr>
        <w:jc w:val="center"/>
      </w:pPr>
      <w:r>
        <w:t>分析期：2022年3月31日至2025年6月30日 | 决策窗口：未来90天</w:t>
      </w:r>
    </w:p>
    <w:p/>
    <w:p>
      <w:pPr>
        <w:pStyle w:val="Heading1"/>
      </w:pPr>
      <w:r>
        <w:t>决策请求</w:t>
      </w:r>
    </w:p>
    <w:p>
      <w:r>
        <w:rPr>
          <w:b/>
        </w:rPr>
        <w:t>批准</w:t>
      </w:r>
      <w:r>
        <w:t>六家一级复核范围及统一资料请求，并指定信用、资金和财务负责人在45天内形成机构诊断；第60天审议整改，第90天复评。该范围由多维交叉信号、持续性和组合影响共同决定，不是“最差比率”名单。</w:t>
      </w:r>
    </w:p>
    <w:p>
      <w:pPr>
        <w:pStyle w:val="Heading1"/>
      </w:pPr>
      <w:r>
        <w:t>选择依据</w:t>
      </w:r>
    </w:p>
    <w:p>
      <w:pPr>
        <w:pStyle w:val="ListBullet"/>
      </w:pPr>
      <w:r>
        <w:t>组合期末ROA 0.76%、非应计率0.35%、净核销率0.027%、总RBC 14.21%；盈利修复与信用恶化并存。</w:t>
      </w:r>
    </w:p>
    <w:p>
      <w:pPr>
        <w:pStyle w:val="ListBullet"/>
      </w:pPr>
      <w:r>
        <w:t>Priority_Ranking采用盈利25%、信用25%、资金15%、资本20%、趋势15%的样本内百分位；再以规模贡献、持续性、机构生命周期和数据可得性进行管理判断。</w:t>
      </w:r>
    </w:p>
    <w:p>
      <w:pPr>
        <w:pStyle w:val="ListBullet"/>
      </w:pPr>
      <w:r>
        <w:t>入选六家覆盖：大行组合影响、资本较薄、持续问题资产、长期亏损/低利差、高贷款存款比及高速增长新银行。</w:t>
      </w:r>
    </w:p>
    <w:p>
      <w:pPr>
        <w:pStyle w:val="Heading2"/>
      </w:pPr>
      <w:r>
        <w:t>BANGOR SAVINGS BANK（CERT 18408）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blHeader w:val="true"/>
        </w:trPr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资产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ROA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非应计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净核销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总RBC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权益/资产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贷款/存款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贷款YoY</w:t>
            </w:r>
          </w:p>
        </w:tc>
      </w:tr>
      <w:tr>
        <w:tc>
          <w:tcPr>
            <w:tcW w:type="dxa" w:w="1278"/>
            <w:vAlign w:val="top"/>
          </w:tcPr>
          <w:p>
            <w:r>
              <w:rPr>
                <w:sz w:val="16"/>
              </w:rPr>
              <w:t>$7.34bn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0.11%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0.46%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0.018%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11.15%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6.37%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85.7%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3.7%</w:t>
            </w:r>
          </w:p>
        </w:tc>
      </w:tr>
    </w:tbl>
    <w:p>
      <w:r>
        <w:rPr>
          <w:b/>
        </w:rPr>
        <w:t>关注理由：</w:t>
      </w:r>
      <w:r>
        <w:t>样本最大机构；ROA长期低位、2025Q2非应计率同比上升约40bp，总RBC 11.15%、权益/资产6.37%，信用恶化与资本承受力交叉。</w:t>
      </w:r>
    </w:p>
    <w:p>
      <w:r>
        <w:rPr>
          <w:b/>
        </w:rPr>
        <w:t>管理层需回答：</w:t>
      </w:r>
      <w:r>
        <w:t>非应计新增来自哪些借款人、行业和抵押品？2023年以来低盈利由资金成本、费用、证券或信用成本各解释多少？资本目标及压力情景余量是多少？</w:t>
      </w:r>
    </w:p>
    <w:p>
      <w:r>
        <w:rPr>
          <w:b/>
        </w:rPr>
        <w:t>资料请求：</w:t>
      </w:r>
      <w:r>
        <w:t>非应计/特别关注/分类贷款逐笔清单；内部评级迁徙；ACL桥接；CRE细分；净息差与资金成本桥接；资本压力测试及董事会限额。</w:t>
      </w:r>
    </w:p>
    <w:p>
      <w:r>
        <w:rPr>
          <w:b/>
        </w:rPr>
        <w:t>建议行动：</w:t>
      </w:r>
      <w:r>
        <w:t>45天内完成前20大新增问题贷款复核与资本敏感性；冻结任何突破风险偏好的集中度增长，直至管理层解释通过。</w:t>
      </w:r>
    </w:p>
    <w:p>
      <w:r>
        <w:rPr>
          <w:b/>
        </w:rPr>
        <w:t>后续监测：</w:t>
      </w:r>
      <w:r>
        <w:t>非应计新增额、30–89天逾期、ACL/问题贷款、RBC与权益/资产、核心存款成本，月度。</w:t>
      </w:r>
    </w:p>
    <w:p>
      <w:pPr>
        <w:pStyle w:val="Heading2"/>
      </w:pPr>
      <w:r>
        <w:t>UNION BANK（CERT 14158）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blHeader w:val="true"/>
        </w:trPr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资产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ROA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非应计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净核销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总RBC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权益/资产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贷款/存款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贷款YoY</w:t>
            </w:r>
          </w:p>
        </w:tc>
      </w:tr>
      <w:tr>
        <w:tc>
          <w:tcPr>
            <w:tcW w:type="dxa" w:w="1278"/>
            <w:vAlign w:val="top"/>
          </w:tcPr>
          <w:p>
            <w:r>
              <w:rPr>
                <w:sz w:val="16"/>
              </w:rPr>
              <w:t>$1.48bn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0.70%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1.03%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-0.001%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12.62%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5.85%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100.6%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9.8%</w:t>
            </w:r>
          </w:p>
        </w:tc>
      </w:tr>
    </w:tbl>
    <w:p>
      <w:r>
        <w:rPr>
          <w:b/>
        </w:rPr>
        <w:t>关注理由：</w:t>
      </w:r>
      <w:r>
        <w:t>非应计率由2024Q2 0.13%升至1.03%，贷款/存款100.6%，总RBC 12.62%、权益/资产5.85%；问题资产上升时缓冲相对有限。</w:t>
      </w:r>
    </w:p>
    <w:p>
      <w:r>
        <w:rPr>
          <w:b/>
        </w:rPr>
        <w:t>管理层需回答：</w:t>
      </w:r>
      <w:r>
        <w:t>2025Q1跳升是否为少数大额贷款？抵押物和还款来源是否更新？贷款增速高于存款的资金计划是什么？</w:t>
      </w:r>
    </w:p>
    <w:p>
      <w:r>
        <w:rPr>
          <w:b/>
        </w:rPr>
        <w:t>资料请求：</w:t>
      </w:r>
      <w:r>
        <w:t>全部非应计和90天逾期贷款、修改/展期、抵押物评估、风险评级覆盖、未保险存款与批发融资期限、资本计划。</w:t>
      </w:r>
    </w:p>
    <w:p>
      <w:r>
        <w:rPr>
          <w:b/>
        </w:rPr>
        <w:t>建议行动：</w:t>
      </w:r>
      <w:r>
        <w:t>先做集中度和大额关系穿透；设定问题资产和资金缺口的月度降险里程碑。</w:t>
      </w:r>
    </w:p>
    <w:p>
      <w:r>
        <w:rPr>
          <w:b/>
        </w:rPr>
        <w:t>后续监测：</w:t>
      </w:r>
      <w:r>
        <w:t>非应计/资产、Top 10问题关系、贷款存款比、批发融资占比、RBC，月度。</w:t>
      </w:r>
    </w:p>
    <w:p>
      <w:pPr>
        <w:pStyle w:val="Heading2"/>
      </w:pPr>
      <w:r>
        <w:t>MERRIMACK COUNTY SAVINGS BANK（CERT 17960）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blHeader w:val="true"/>
        </w:trPr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资产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ROA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非应计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净核销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总RBC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权益/资产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贷款/存款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贷款YoY</w:t>
            </w:r>
          </w:p>
        </w:tc>
      </w:tr>
      <w:tr>
        <w:tc>
          <w:tcPr>
            <w:tcW w:type="dxa" w:w="1278"/>
            <w:vAlign w:val="top"/>
          </w:tcPr>
          <w:p>
            <w:r>
              <w:rPr>
                <w:sz w:val="16"/>
              </w:rPr>
              <w:t>$1.35bn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0.26%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0.57%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0.075%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13.80%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8.83%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104.3%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-2.6%</w:t>
            </w:r>
          </w:p>
        </w:tc>
      </w:tr>
    </w:tbl>
    <w:p>
      <w:r>
        <w:rPr>
          <w:b/>
        </w:rPr>
        <w:t>关注理由：</w:t>
      </w:r>
      <w:r>
        <w:t>自2023年起非应计率持续约0.5%–0.7%，ROA降至0.26%；2024Q4核销率曾显著上升，期末贷款/存款104.3%。</w:t>
      </w:r>
    </w:p>
    <w:p>
      <w:r>
        <w:rPr>
          <w:b/>
        </w:rPr>
        <w:t>管理层需回答：</w:t>
      </w:r>
      <w:r>
        <w:t>问题资产为何长期不退出？2024Q4核销集中在哪些组合？低盈利与信用处置、资金成本各占多少？</w:t>
      </w:r>
    </w:p>
    <w:p>
      <w:r>
        <w:rPr>
          <w:b/>
        </w:rPr>
        <w:t>资料请求：</w:t>
      </w:r>
      <w:r>
        <w:t>36个月问题资产滚动表；核销/回收明细；展期和TDR/修改；借款人现金流复评；存款定价与批发资金；盈利桥接。</w:t>
      </w:r>
    </w:p>
    <w:p>
      <w:r>
        <w:rPr>
          <w:b/>
        </w:rPr>
        <w:t>建议行动：</w:t>
      </w:r>
      <w:r>
        <w:t>针对长期非应计制定逐笔退出、重组或处置日期；把回收假设与ACL、资本情景联动。</w:t>
      </w:r>
    </w:p>
    <w:p>
      <w:r>
        <w:rPr>
          <w:b/>
        </w:rPr>
        <w:t>后续监测：</w:t>
      </w:r>
      <w:r>
        <w:t>非应计存续期、逾期迁徙、核销与回收、贷款存款比、ROA，月度。</w:t>
      </w:r>
    </w:p>
    <w:p>
      <w:pPr>
        <w:pStyle w:val="Heading2"/>
      </w:pPr>
      <w:r>
        <w:t>SALEM CO-OPERATIVE BANK（CERT 27824）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blHeader w:val="true"/>
        </w:trPr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资产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ROA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非应计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净核销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总RBC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权益/资产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贷款/存款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贷款YoY</w:t>
            </w:r>
          </w:p>
        </w:tc>
      </w:tr>
      <w:tr>
        <w:tc>
          <w:tcPr>
            <w:tcW w:type="dxa" w:w="1278"/>
            <w:vAlign w:val="top"/>
          </w:tcPr>
          <w:p>
            <w:r>
              <w:rPr>
                <w:sz w:val="16"/>
              </w:rPr>
              <w:t>$0.57bn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-0.31%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0.36%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0.018%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18.96%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10.87%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121.4%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2.4%</w:t>
            </w:r>
          </w:p>
        </w:tc>
      </w:tr>
    </w:tbl>
    <w:p>
      <w:r>
        <w:rPr>
          <w:b/>
        </w:rPr>
        <w:t>关注理由：</w:t>
      </w:r>
      <w:r>
        <w:t>自2023Q1持续亏损，期末ROA -0.31%、NIM 1.92%、贷款/存款121.4%；资本较强但商业模式和资金成本承压。</w:t>
      </w:r>
    </w:p>
    <w:p>
      <w:r>
        <w:rPr>
          <w:b/>
        </w:rPr>
        <w:t>管理层需回答：</w:t>
      </w:r>
      <w:r>
        <w:t>持续亏损的结构性与一次性成分是什么？非存款融资来源、期限和抵押要求如何？何时恢复盈亏平衡？</w:t>
      </w:r>
    </w:p>
    <w:p>
      <w:r>
        <w:rPr>
          <w:b/>
        </w:rPr>
        <w:t>资料请求：</w:t>
      </w:r>
      <w:r>
        <w:t>月度净息差桥接；存款β和存款流失；FHLB/经纪存款及抵押品；利率风险模拟；费用与收入改善计划。</w:t>
      </w:r>
    </w:p>
    <w:p>
      <w:r>
        <w:rPr>
          <w:b/>
        </w:rPr>
        <w:t>建议行动：</w:t>
      </w:r>
      <w:r>
        <w:t>要求60天内提交可验证的12个月盈利和流动性修复计划，并设置资金集中度和成本上限。</w:t>
      </w:r>
    </w:p>
    <w:p>
      <w:r>
        <w:rPr>
          <w:b/>
        </w:rPr>
        <w:t>后续监测：</w:t>
      </w:r>
      <w:r>
        <w:t>NIM、存款成本/余额、批发融资、可用抵押能力、ROA，月度。</w:t>
      </w:r>
    </w:p>
    <w:p>
      <w:pPr>
        <w:pStyle w:val="Heading2"/>
      </w:pPr>
      <w:r>
        <w:t>BAR HARBOR SAVINGS AND LOAN ASSOCIATION（CERT 30878）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blHeader w:val="true"/>
        </w:trPr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资产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ROA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非应计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净核销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总RBC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权益/资产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贷款/存款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贷款YoY</w:t>
            </w:r>
          </w:p>
        </w:tc>
      </w:tr>
      <w:tr>
        <w:tc>
          <w:tcPr>
            <w:tcW w:type="dxa" w:w="1278"/>
            <w:vAlign w:val="top"/>
          </w:tcPr>
          <w:p>
            <w:r>
              <w:rPr>
                <w:sz w:val="16"/>
              </w:rPr>
              <w:t>$0.10bn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1.37%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0.000%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未报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12.02%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118.3%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-2.4%</w:t>
            </w:r>
          </w:p>
        </w:tc>
      </w:tr>
    </w:tbl>
    <w:p>
      <w:r>
        <w:rPr>
          <w:b/>
        </w:rPr>
        <w:t>关注理由：</w:t>
      </w:r>
      <w:r>
        <w:t>规模小但ROA接近零、非应计率1.37%、贷款/存款118.3%、房地产贷款占99.8%，多项信号持续。</w:t>
      </w:r>
    </w:p>
    <w:p>
      <w:r>
        <w:rPr>
          <w:b/>
        </w:rPr>
        <w:t>管理层需回答：</w:t>
      </w:r>
      <w:r>
        <w:t>非应计与逾期是否集中于少数房地产关系？高贷款存款比如何融资？低NIM是否由固定利率资产与资金成本错配造成？</w:t>
      </w:r>
    </w:p>
    <w:p>
      <w:r>
        <w:rPr>
          <w:b/>
        </w:rPr>
        <w:t>资料请求：</w:t>
      </w:r>
      <w:r>
        <w:t>完整贷款清单及物业类型；Top 20关系；抵押估值和DSCR；存款/借款期限；利率风险与流动性压力；资本口径说明。</w:t>
      </w:r>
    </w:p>
    <w:p>
      <w:r>
        <w:rPr>
          <w:b/>
        </w:rPr>
        <w:t>建议行动：</w:t>
      </w:r>
      <w:r>
        <w:t>做全量或高覆盖率贷款复核；设定房地产子类、单户和单一借款人限额；制定资金应急触发器。</w:t>
      </w:r>
    </w:p>
    <w:p>
      <w:r>
        <w:rPr>
          <w:b/>
        </w:rPr>
        <w:t>后续监测：</w:t>
      </w:r>
      <w:r>
        <w:t>非应计、逾期、DSCR例外、存款流失、贷款存款比、NIM，月度。</w:t>
      </w:r>
    </w:p>
    <w:p>
      <w:pPr>
        <w:pStyle w:val="Heading2"/>
      </w:pPr>
      <w:r>
        <w:t>WALDEN MUTUAL BANK（CERT 59289）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blHeader w:val="true"/>
        </w:trPr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资产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ROA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非应计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净核销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总RBC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权益/资产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贷款/存款</w:t>
            </w:r>
          </w:p>
        </w:tc>
        <w:tc>
          <w:tcPr>
            <w:tcW w:type="dxa" w:w="127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贷款YoY</w:t>
            </w:r>
          </w:p>
        </w:tc>
      </w:tr>
      <w:tr>
        <w:tc>
          <w:tcPr>
            <w:tcW w:type="dxa" w:w="1278"/>
            <w:vAlign w:val="top"/>
          </w:tcPr>
          <w:p>
            <w:r>
              <w:rPr>
                <w:sz w:val="16"/>
              </w:rPr>
              <w:t>$0.15bn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-0.24%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1.94%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-0.203%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未报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10.75%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82.3%</w:t>
            </w:r>
          </w:p>
        </w:tc>
        <w:tc>
          <w:tcPr>
            <w:tcW w:type="dxa" w:w="1278"/>
            <w:vAlign w:val="top"/>
          </w:tcPr>
          <w:p>
            <w:r>
              <w:rPr>
                <w:sz w:val="16"/>
              </w:rPr>
              <w:t>106.7%</w:t>
            </w:r>
          </w:p>
        </w:tc>
      </w:tr>
    </w:tbl>
    <w:p>
      <w:r>
        <w:rPr>
          <w:b/>
        </w:rPr>
        <w:t>关注理由：</w:t>
      </w:r>
      <w:r>
        <w:t>2022年后进入样本，仍亏损；一年贷款增长106.7%、非应计1.94%、逾期2.38%，早期扩张与信用信号交叉；RBC分母未报。</w:t>
      </w:r>
    </w:p>
    <w:p>
      <w:r>
        <w:rPr>
          <w:b/>
        </w:rPr>
        <w:t>管理层需回答：</w:t>
      </w:r>
      <w:r>
        <w:t>增长是否符合批准的风险偏好与运营能力？早期批次的承保、例外和贷后监控如何？RBC为何不可得，资本消耗路径如何？</w:t>
      </w:r>
    </w:p>
    <w:p>
      <w:r>
        <w:rPr>
          <w:b/>
        </w:rPr>
        <w:t>资料请求：</w:t>
      </w:r>
      <w:r>
        <w:t>按发放批次的贷款表现；全部非应计/逾期；承保例外；员工与审批能力；资金来源；资本计划和RBC监管报表口径。</w:t>
      </w:r>
    </w:p>
    <w:p>
      <w:r>
        <w:rPr>
          <w:b/>
        </w:rPr>
        <w:t>建议行动：</w:t>
      </w:r>
      <w:r>
        <w:t>立即审查增长阈值和审批权限；在数据确认前将月度增长与信用触发器提交董事会/风险委员会。</w:t>
      </w:r>
    </w:p>
    <w:p>
      <w:r>
        <w:rPr>
          <w:b/>
        </w:rPr>
        <w:t>后续监测：</w:t>
      </w:r>
      <w:r>
        <w:t>批次逾期、非应计、例外率、贷款/存款增长差、资本消耗、流动性，月度。</w:t>
      </w:r>
    </w:p>
    <w:p>
      <w:pPr>
        <w:pStyle w:val="Heading1"/>
      </w:pPr>
      <w:r>
        <w:t>统一90天工作计划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截止日</w:t>
            </w:r>
          </w:p>
        </w:tc>
        <w:tc>
          <w:tcPr>
            <w:tcW w:type="dxa" w:w="5472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管理动作</w:t>
            </w:r>
          </w:p>
        </w:tc>
        <w:tc>
          <w:tcPr>
            <w:tcW w:type="dxa" w:w="3888"/>
            <w:shd w:fill="2F75B5"/>
            <w:vAlign w:val="center"/>
          </w:tcPr>
          <w:p>
            <w:r>
              <w:rPr>
                <w:b/>
                <w:color w:val="FFFFFF"/>
                <w:sz w:val="16"/>
              </w:rPr>
              <w:t>升级条件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  <w:t>第15天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6"/>
              </w:rPr>
              <w:t>六家资料包齐备；数据差异和责任人确认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关键明细缺失、无法解释RBC或问题资产口径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  <w:t>第30天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6"/>
              </w:rPr>
              <w:t>完成问题资产/资金初筛；确定现场或文件抽样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新增非应计、资金缺口或重大评级覆盖不足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  <w:t>第45天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6"/>
              </w:rPr>
              <w:t>完成机构诊断与竞争性解释核验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资本压力后余量不足或管理层解释与明细不一致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  <w:t>第60天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6"/>
              </w:rPr>
              <w:t>批准整改、限额和月度里程碑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无可量化责任人、期限或资金来源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  <w:t>第90天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6"/>
              </w:rPr>
              <w:t>复评并决定升级、维持或退出一级范围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触发器连续恶化或承诺未完成</w:t>
            </w:r>
          </w:p>
        </w:tc>
      </w:tr>
    </w:tbl>
    <w:p>
      <w:pPr>
        <w:pStyle w:val="Heading1"/>
      </w:pPr>
      <w:r>
        <w:t>二级监测与边界</w:t>
      </w:r>
    </w:p>
    <w:p>
      <w:pPr>
        <w:pStyle w:val="ListBullet"/>
      </w:pPr>
      <w:r>
        <w:t>First Federal S&amp;L of Bath：高非应计与逾期，但RBC 27.17%；先定向信用抽查。</w:t>
      </w:r>
    </w:p>
    <w:p>
      <w:pPr>
        <w:pStyle w:val="ListBullet"/>
      </w:pPr>
      <w:r>
        <w:t>First Seacoast Bank、Piscataqua Savings Bank：持续亏损和低NIM，但当前信用损失有限；要求盈利桥接并月度观察。</w:t>
      </w:r>
    </w:p>
    <w:p>
      <w:pPr>
        <w:pStyle w:val="ListBullet"/>
      </w:pPr>
      <w:r>
        <w:t>二级机构若触发ROA&lt;0且非应计环比+10bp、贷款/存款&gt;110%或资本下降50bp，则升级一级。</w:t>
      </w:r>
    </w:p>
    <w:p>
      <w:pPr>
        <w:pStyle w:val="Heading1"/>
      </w:pPr>
      <w:r>
        <w:t>假设与限制</w:t>
      </w:r>
    </w:p>
    <w:p>
      <w:pPr>
        <w:pStyle w:val="ListBullet"/>
      </w:pPr>
      <w:r>
        <w:t>公开汇总数据不含内部评级、CRE细分、存款集中度、未保险存款、流动性和管理质量；资料请求旨在填补这些缺口。</w:t>
      </w:r>
    </w:p>
    <w:p>
      <w:pPr>
        <w:pStyle w:val="ListBullet"/>
      </w:pPr>
      <w:r>
        <w:t>风险评分是样本内分流，不是监管评级、违约预测或已证明的因果结论。</w:t>
      </w:r>
    </w:p>
    <w:p>
      <w:pPr>
        <w:pStyle w:val="ListBullet"/>
      </w:pPr>
      <w:r>
        <w:t>RWAJT为零时不把总RBC视为0%；机构快照为较晚时点，ACTIVE不回溯。</w:t>
      </w:r>
    </w:p>
    <w:p>
      <w:pPr>
        <w:pStyle w:val="ListBullet"/>
      </w:pPr>
      <w:r>
        <w:t>2026版FDIC手册与OCC手册仅指导复核设计；分析结论截至2025年6月30日，且只适用于所给区域样本。</w:t>
      </w:r>
    </w:p>
    <w:p>
      <w:r>
        <w:rPr>
          <w:b/>
        </w:rPr>
        <w:t>资料来源与口径：</w:t>
      </w:r>
      <w:r>
        <w:t>随附FDIC财务主快照及官方补充快照、机构快照和字段定义；FDIC RMS Manual of Examination Policies §3.2（文件版本3-2026，第3–8、44–48、57–59页）与OCC Rating Credit Risk booklet（所附版本）仅用于设计复核问题。金额为千美元，比例为百分比或百分点。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内部管理用途 | 假设性区域银行组合评估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