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864"/>
          <w:sz w:val="40"/>
        </w:rPr>
        <w:t>北新英格兰地区银行组合</w:t>
        <w:br/>
        <w:t>经营表现与财务风险变化诊断</w:t>
      </w:r>
    </w:p>
    <w:p>
      <w:pPr>
        <w:jc w:val="center"/>
      </w:pPr>
      <w:r>
        <w:rPr>
          <w:rFonts w:ascii="Calibri" w:hAnsi="Calibri" w:eastAsia="微软雅黑"/>
          <w:color w:val="595959"/>
          <w:sz w:val="22"/>
        </w:rPr>
        <w:t>评估期：2022-03-31 至 2025-06-30  ·  样本：VT / NH / ME 三州 54 家 FDIC 保险机构</w:t>
      </w:r>
    </w:p>
    <w:p>
      <w:pPr>
        <w:jc w:val="center"/>
      </w:pPr>
      <w:r>
        <w:rPr>
          <w:rFonts w:ascii="Calibri" w:hAnsi="Calibri" w:eastAsia="微软雅黑"/>
          <w:i/>
          <w:color w:val="595959"/>
          <w:sz w:val="18"/>
        </w:rPr>
        <w:t>假设性内部管理分析 · 不外推为全国银行业判断 · 数据源：FDIC BankFind RISVIEW 财务快照</w:t>
      </w:r>
    </w:p>
    <w:p/>
    <w:p>
      <w:pPr>
        <w:pStyle w:val="Heading1"/>
      </w:pPr>
      <w:r>
        <w:rPr>
          <w:rFonts w:ascii="Calibri" w:hAnsi="Calibri" w:eastAsia="微软雅黑"/>
          <w:color w:val="1F3864"/>
        </w:rPr>
        <w:t>一、执行摘要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本报告基于 FDIC 财务快照，对北新英格兰（佛蒙特、新罕布什尔、缅因）三州 54 家银行在 2022Q1–2025Q2 共 14 个季度的经营与风险演变进行组合层诊断。核心结论是：样本整体仍属稳健，但盈利中枢下移、信用质量温和恶化、资金趋紧三条线索同时出现，且风险高度集中于少数机构。组合层四项关键指标如下（资产加权口径，已剔除无贷款的信托公司 CERT 35206；总风险资本比率为报告子集口径）。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关键指标（组合口径）</w:t>
            </w:r>
          </w:p>
        </w:tc>
        <w:tc>
          <w:tcPr>
            <w:tcW w:type="dxa" w:w="108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2022Q1</w:t>
            </w:r>
          </w:p>
        </w:tc>
        <w:tc>
          <w:tcPr>
            <w:tcW w:type="dxa" w:w="108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2024Q2</w:t>
            </w:r>
          </w:p>
        </w:tc>
        <w:tc>
          <w:tcPr>
            <w:tcW w:type="dxa" w:w="108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2025Q2</w:t>
            </w:r>
          </w:p>
        </w:tc>
        <w:tc>
          <w:tcPr>
            <w:tcW w:type="dxa" w:w="1152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全期变化</w:t>
            </w:r>
          </w:p>
        </w:tc>
        <w:tc>
          <w:tcPr>
            <w:tcW w:type="dxa" w:w="3312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资产回报率 ROA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0.81%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0.63%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0.73%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−7.6 bp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中枢下移，2024见底后回升但仍未回到期初</w:t>
            </w:r>
          </w:p>
        </w:tc>
      </w:tr>
      <w:tr>
        <w:tc>
          <w:tcPr>
            <w:tcW w:type="dxa" w:w="244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非应计资产率 NA/资产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0.22%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0.30%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0.35%</w:t>
            </w:r>
          </w:p>
        </w:tc>
        <w:tc>
          <w:tcPr>
            <w:tcW w:type="dxa" w:w="1152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+13.4 bp</w:t>
            </w:r>
          </w:p>
        </w:tc>
        <w:tc>
          <w:tcPr>
            <w:tcW w:type="dxa" w:w="3312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持续、普遍、趋势性上行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净核销率（年化）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0.016%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0.022%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0.027%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+1.1 bp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绝对水平极低，尚非主要损失来源</w:t>
            </w:r>
          </w:p>
        </w:tc>
      </w:tr>
      <w:tr>
        <w:tc>
          <w:tcPr>
            <w:tcW w:type="dxa" w:w="244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总风险资本比率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15.14%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14.55%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14.22%</w:t>
            </w:r>
          </w:p>
        </w:tc>
        <w:tc>
          <w:tcPr>
            <w:tcW w:type="dxa" w:w="1152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−92 bp</w:t>
            </w:r>
          </w:p>
        </w:tc>
        <w:tc>
          <w:tcPr>
            <w:tcW w:type="dxa" w:w="3312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缓冲仍充足，但趋势向下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参考：权益/资产 9.88%→9.86%（期初期末基本持平，期间受利率AOCI影响曾下探8.67%）；净息差NIM 3.15%→见顶3.28%(2022Q4)→见底2.75%(2024Q1)→回升3.16%；贷款/资产 69.6%→77.1%；贷款/存款 80.5%→93.8%。数据见模型 04_组合季度趋势。</w:t>
      </w:r>
    </w:p>
    <w:p>
      <w:pPr>
        <w:spacing w:after="60"/>
      </w:pPr>
      <w:r>
        <w:rPr>
          <w:rFonts w:ascii="Calibri" w:hAnsi="Calibri" w:eastAsia="微软雅黑"/>
          <w:b/>
          <w:i w:val="0"/>
          <w:sz w:val="21"/>
        </w:rPr>
        <w:t>五项主要判断：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1. </w:t>
      </w:r>
      <w:r>
        <w:rPr>
          <w:rFonts w:ascii="Calibri" w:hAnsi="Calibri" w:eastAsia="微软雅黑"/>
          <w:sz w:val="21"/>
        </w:rPr>
        <w:t>盈利下行是"利率挤压 + 信用成本抬升"叠加，而非单一因素。组合ROA与NIM高度同步（相关系数0.78），NIM在2022Q4见顶、2024Q1见底、2025年回升的"先压后弹"形态，是ROA路径的主导变量；2025年ROA未随NIM完全修复，则因拨备成本同期跳升。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2. </w:t>
      </w:r>
      <w:r>
        <w:rPr>
          <w:rFonts w:ascii="Calibri" w:hAnsi="Calibri" w:eastAsia="微软雅黑"/>
          <w:sz w:val="21"/>
        </w:rPr>
        <w:t>信用恶化是真实的、普遍的，不是样本构成假象。归因显示非应计率+13.4bp中约82%（+11.0bp）来自持续机构自身信用变差，仅约27%由资产权重迁移贡献。49家有可比数据的银行中26家非应计率上升、9家升幅≥40bp。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3. </w:t>
      </w:r>
      <w:r>
        <w:rPr>
          <w:rFonts w:ascii="Calibri" w:hAnsi="Calibri" w:eastAsia="微软雅黑"/>
          <w:sz w:val="21"/>
        </w:rPr>
        <w:t>风险高度集中。2025Q2组合非应计余额$251.6mm中，前6家占51%、前10家占66%；Northeast、Bangor、Camden三家大行合计占34%。组合层"温和"读数掩盖了个体分化。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4. </w:t>
      </w:r>
      <w:r>
        <w:rPr>
          <w:rFonts w:ascii="Calibri" w:hAnsi="Calibri" w:eastAsia="微软雅黑"/>
          <w:sz w:val="21"/>
        </w:rPr>
        <w:t>组合ROA跌幅低估了典型行的压力。归因显示持续机构自身ROA实际下降−18.2bp，但被+10.0bp的正向权重迁移（资产向高ROA成长行集中）抵消了近一半。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5. </w:t>
      </w:r>
      <w:r>
        <w:rPr>
          <w:rFonts w:ascii="Calibri" w:hAnsi="Calibri" w:eastAsia="微软雅黑"/>
          <w:sz w:val="21"/>
        </w:rPr>
        <w:t>两家de novo机构（Walden Mutual、Bank of Burlington）自设立起持续亏损，是唯一的"两窗口均负ROA"机构；但其规模小、资本尚足，属成长期特征而非即期风险。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优先行动建议（详见第七节与配套 priority_follow_up_brief.docx）：将有限复核资源集中投向一个"信用恶化 × 资本偏薄 × 规模权重"三重叠加的16家优先跟进队列，其中Tier 1两家（Walden Mutual、Bar Harbor Savings &amp; Loan）、Tier 2十四家。对样本内最大权重且刚发生大额非应计跳升的 Bangor Savings Bank（占总资产10.3%、单季非应计+$25.4mm）应列为组合层最优先复核对象。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二、范围、数据与方法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2.1 样本与数据源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样本 = FDIC 财务快照中评估期内出现过的 54 家机构（CERT 级），覆盖 VT(12)、NH(19)、ME(23)。财务字段来自两份快照：原快照（25字段，含ROA/ROE/NIMY/EQ/逾期/贷款结构等）与官方补充快照（含缺失的分母 NETINCA、NTLNLSA、ASSET5、LNLSGR5、RBC、RWAJT）。两快照按 ID 键完全一致（746行×2），13个重合字段零数值差异，可安全合并（模型 03_快照核对）。机构属性来自 FDIC 机构快照（状态、专业分组、互助/社区银行标志、结构事件码）。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2.2 计量口径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组合层聚合采用金额加总后再相除（资产加权），非各行简单平均：ROA=ΣNETINCA/ΣASSET5；非应计率=ΣNAASSET/ΣASSET；净核销率=ΣNTLNLSA/ΣLNLSGR5；总风险资本比率=ΣRBC/ΣRWAJT。所有金额为千美元。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信托公司（CERT 35206，Fidelity Personal Trust）无贷款业务、ROA极端（28.5%），会扭曲组合信用/盈利读数，故在组合聚合中剔除，仅保留在覆盖与机构对应表中并标注。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总风险资本比率：RWAJT=0的行（多为互助制/储蓄机构豁免PCA风险资本报告）不参与聚合。2025Q2有37/52家报告，覆盖资产$56.3bn/$71.3bn；资本充足性另以全样本可比的权益/资产（杠杆）佐证。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变化归因采用对称（midpoint）shift-share 分解：组合指标变化 = 持续机构自身表现 Σ(w̄·Δr) + 持续机构权重迁移 Σ(r̄·Δw) + 进入项 + 退出项，四项之和精确等于总变化（模型 07_组合变化归因设核对列）。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2.3 分析性质与关键限制（先于结论声明）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这是基于所给期末快照的回顾性分析，不是"分析期末当时可得信息"的回测。快照含事后信息（如2025年内已完成的合并之期末状态）。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样本为三州54家，结论仅适用于该样本，不构成对全国或全州银行业的判断，亦非监管评级。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财务快照无逐笔贷款分类（次级/可疑/损失明细）、无证券组合与表外项目明细。信用判断以"非应计+逾期+净核销+拨备覆盖率"的汇总代理，可能低估或错判个别机构真实资产质量。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本报告所有归因均为观察性关联，非因果证明。凡涉及"驱动"，均在第四节以竞争性解释方式呈现证据强弱与待验证项。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三、组合层经营与风险演变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3.1 盈利能力：中枢下移，利率主导，2025受拨备拖累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组合ROA从2022Q1的0.81%降至2024Q2的0.63%（周期低点），2025Q2回升至0.73%，但未回到期初水平。ROA路径与NIM几乎同步：NIM在加息初期（负债重定价滞后）于2022Q4见顶3.28%，随后随存款成本追赶持续下行至2024Q1的2.75%见底，2025年随资产端重定价回升至3.16%。二者相关系数0.78，表明利差是样本盈利的首要摆动项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但2025年的ROA修复被拨备打断：组合拨备/均资产从2024Q4的0.032%跳升至2025Q1的0.121%、Q2的0.124%。这一跳升高度集中——Camden National单家占组合拨备的38–45%（与其2025Q1吸收Northway Bank、房地产敞口扩大相关），并非全样本普遍现象。剔除该项，样本盈利修复本应更充分。中位数ROA（0.61%→0.62%）在期内基本持平，说明组合ROA的下移更多由权重集中的大行摆动主导，而非中小行普遍走弱。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3.2 信用质量：温和但趋势性恶化，且高度集中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非应计资产率从0.22%升至0.35%（+13.4bp），逾期（30–89天/资产）从0.116%升至0.222%，分类贷款/贷款从0.32%升至0.48%，三条信用线同向上行。净核销率虽同步上升但绝对水平仍极低（0.027%），拨备覆盖率（ALLL/贷款）期内基本稳定在0.9–1.0%。这表明：恶化主要体现在"存量资产质量迁移"（非应计与分类上升），尚未大规模转化为已实现损失（核销），拨备计提也大体跟上了分类资产的节奏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集中度是关键。2025Q2组合非应计余额$251.6mm，前6家占51%、前10家占66%；3家银行非应计为零、25家低于0.25%。换言之，"组合非应计率0.35%"是一个被少数机构抬高的平均数，多数机构信用仍属清洁。信用风险的分散度低，意味着对头部几家的复核价值远高于全样本普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312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非应计余额前列机构 (2025Q2)</w:t>
            </w:r>
          </w:p>
        </w:tc>
        <w:tc>
          <w:tcPr>
            <w:tcW w:type="dxa" w:w="129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非应计$mm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占组合非应计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该行NA/资产</w:t>
            </w:r>
          </w:p>
        </w:tc>
        <w:tc>
          <w:tcPr>
            <w:tcW w:type="dxa" w:w="3168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Northeast Bank (19690)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Calibri" w:hAnsi="Calibri" w:eastAsia="微软雅黑"/>
                <w:sz w:val="18"/>
              </w:rPr>
              <w:t>35.0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0.82%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期内并购做大(资产+173%)，NA随之累积</w:t>
            </w:r>
          </w:p>
        </w:tc>
      </w:tr>
      <w:tr>
        <w:tc>
          <w:tcPr>
            <w:tcW w:type="dxa" w:w="3312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Bangor Savings Bank (18408)</w:t>
            </w:r>
          </w:p>
        </w:tc>
        <w:tc>
          <w:tcPr>
            <w:tcW w:type="dxa" w:w="1296"/>
            <w:shd w:val="clear" w:fill="EDF1F8"/>
          </w:tcPr>
          <w:p>
            <w:pPr>
              <w:jc w:val="right"/>
            </w:pPr>
            <w:r/>
            <w:r>
              <w:rPr>
                <w:rFonts w:ascii="Calibri" w:hAnsi="Calibri" w:eastAsia="微软雅黑"/>
                <w:sz w:val="18"/>
              </w:rPr>
              <w:t>33.5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13%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0.46%</w:t>
            </w:r>
          </w:p>
        </w:tc>
        <w:tc>
          <w:tcPr>
            <w:tcW w:type="dxa" w:w="316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样本最大行(10.3%权重)，2025Q2单季NA+$25.4mm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The Camden National Bank (4255)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Calibri" w:hAnsi="Calibri" w:eastAsia="微软雅黑"/>
                <w:sz w:val="18"/>
              </w:rPr>
              <w:t>18.2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0.26%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吸收Northway，拨备大幅计提</w:t>
            </w:r>
          </w:p>
        </w:tc>
      </w:tr>
      <w:tr>
        <w:tc>
          <w:tcPr>
            <w:tcW w:type="dxa" w:w="3312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Union Bank (14158)</w:t>
            </w:r>
          </w:p>
        </w:tc>
        <w:tc>
          <w:tcPr>
            <w:tcW w:type="dxa" w:w="1296"/>
            <w:shd w:val="clear" w:fill="EDF1F8"/>
          </w:tcPr>
          <w:p>
            <w:pPr>
              <w:jc w:val="right"/>
            </w:pPr>
            <w:r/>
            <w:r>
              <w:rPr>
                <w:rFonts w:ascii="Calibri" w:hAnsi="Calibri" w:eastAsia="微软雅黑"/>
                <w:sz w:val="18"/>
              </w:rPr>
              <w:t>15.2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6%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1.03%</w:t>
            </w:r>
          </w:p>
        </w:tc>
        <w:tc>
          <w:tcPr>
            <w:tcW w:type="dxa" w:w="316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权益/资产仅5.85%(样本最薄)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Maine Community Bank (17741)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Calibri" w:hAnsi="Calibri" w:eastAsia="微软雅黑"/>
                <w:sz w:val="18"/>
              </w:rPr>
              <w:t>14.2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6%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0.52%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18"/>
              </w:rPr>
              <w:t>2025Q1吸收Gorham后资产翻倍</w:t>
            </w:r>
          </w:p>
        </w:tc>
      </w:tr>
      <w:tr>
        <w:tc>
          <w:tcPr>
            <w:tcW w:type="dxa" w:w="3312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Bank of New England (24540)</w:t>
            </w:r>
          </w:p>
        </w:tc>
        <w:tc>
          <w:tcPr>
            <w:tcW w:type="dxa" w:w="1296"/>
            <w:shd w:val="clear" w:fill="EDF1F8"/>
          </w:tcPr>
          <w:p>
            <w:pPr>
              <w:jc w:val="right"/>
            </w:pPr>
            <w:r/>
            <w:r>
              <w:rPr>
                <w:rFonts w:ascii="Calibri" w:hAnsi="Calibri" w:eastAsia="微软雅黑"/>
                <w:sz w:val="18"/>
              </w:rPr>
              <w:t>11.4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5%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0.65%</w:t>
            </w:r>
          </w:p>
        </w:tc>
        <w:tc>
          <w:tcPr>
            <w:tcW w:type="dxa" w:w="316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2024Q1非应计曾骤升后回落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数据见模型 05_银行季度明细 / 06_银行汇总期末。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3.3 资本承受力：杠杆稳定，但风险资本缓冲缓慢收窄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权益/资产在期初期末基本持平（9.88%→9.86%），但期间经历明显波动：2022年加息令债券浮亏通过AOCI压低账面权益，组合权益/资产于2022Q3下探8.67%，随后随利率回落与盈利留存修复至9.86%。归因显示，全期权益/资产的"稳定"并非各行主动补充资本的结果——持续机构自身实际去杠杆−31.7bp，被+61.4bp的权重迁移（资产向资本较厚的大行集中）抵消。这是一个需要警惕的结构性信号：组合资本的表面稳定部分依赖于资产构成的变化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风险资本端，总风险资本比率从15.14%降至14.22%（−92bp），缓冲仍然充足但趋势向下。需强调该比率仅覆盖报告子集（2025Q2为37家），且子集成员随时间变化（如Kennebec、Rockland、Burlington进入报告，Millyard、Northway退出），跨期比较受构成影响较大——这也是本报告同时用全样本可比的权益/资产作交叉佐证的原因。样本内有10家银行权益/资产低于8%，其中Union Bank（5.85%）、Bangor（6.37%）、Auburn FSB（6.10%）最薄，且Bangor的11.15%总风险资本比率在报告行中偏低。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3.4 资金状况：存款相对收缩，贷存比系统性抬升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贷款/资产从69.6%升至77.1%，存款/资产从85.5%降至81.4%，组合贷存比（贷款净额/存款）从80.5%升至93.8%。对49家可比机构，全期存款增长18.0%落后于资产增长24.0%——即资产扩张部分依赖非核心资金（借款/批发）。这与加息期存款竞争、以及贷款需求相对旺盛的行业背景一致，但结果是资金缓冲收窄。2025Q2有若干机构贷存比超过100%（Salem Co-op 120.7%、Bar Harbor S&amp;L 117.4%、Rockland 108.5%、Franklin ME 108.7%），其资金稳定性应单独关注。房地产贷款集中度全期稳定在约87%，样本整体是房地产主导型资产负债表，对利率与抵押品价值高度敏感。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四、变化归因：多少来自持续机构，多少来自构成/权重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管理层的核心问题是：组合结果的变化，在多大程度上是持续机构自身表现变差，多大程度上只是样本构成或规模权重变化。下表为全期（2022Q1→2025Q2）shift-share 分解（单位：百分点或bp，四项之和=总变化，已验证闭合）。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01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008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期初</w:t>
            </w:r>
          </w:p>
        </w:tc>
        <w:tc>
          <w:tcPr>
            <w:tcW w:type="dxa" w:w="1008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期末</w:t>
            </w:r>
          </w:p>
        </w:tc>
        <w:tc>
          <w:tcPr>
            <w:tcW w:type="dxa" w:w="108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总变化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①持续机构自身</w:t>
            </w:r>
          </w:p>
        </w:tc>
        <w:tc>
          <w:tcPr>
            <w:tcW w:type="dxa" w:w="122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②权重迁移</w:t>
            </w:r>
          </w:p>
        </w:tc>
        <w:tc>
          <w:tcPr>
            <w:tcW w:type="dxa" w:w="86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③进入</w:t>
            </w:r>
          </w:p>
        </w:tc>
        <w:tc>
          <w:tcPr>
            <w:tcW w:type="dxa" w:w="86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④退出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主导来源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非应计/资产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0.220%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0.353%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+13.4bp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+11.0bp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+3.6bp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+0.0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−1.7bp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①自身恶化(82%)</w:t>
            </w:r>
          </w:p>
        </w:tc>
      </w:tr>
      <w:tr>
        <w:tc>
          <w:tcPr>
            <w:tcW w:type="dxa" w:w="201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资产回报率ROA</w:t>
            </w:r>
          </w:p>
        </w:tc>
        <w:tc>
          <w:tcPr>
            <w:tcW w:type="dxa" w:w="1008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0.807%</w:t>
            </w:r>
          </w:p>
        </w:tc>
        <w:tc>
          <w:tcPr>
            <w:tcW w:type="dxa" w:w="1008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0.731%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−7.6bp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−18.2bp</w:t>
            </w:r>
          </w:p>
        </w:tc>
        <w:tc>
          <w:tcPr>
            <w:tcW w:type="dxa" w:w="122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+10.0bp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−0.0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+0.6bp</w:t>
            </w:r>
          </w:p>
        </w:tc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①自身拖累,②抵消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净核销率(年化)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0.016%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0.027%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+1.1bp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+0.9bp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+0.2bp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①自身(82%)</w:t>
            </w:r>
          </w:p>
        </w:tc>
      </w:tr>
      <w:tr>
        <w:tc>
          <w:tcPr>
            <w:tcW w:type="dxa" w:w="201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权益/资产</w:t>
            </w:r>
          </w:p>
        </w:tc>
        <w:tc>
          <w:tcPr>
            <w:tcW w:type="dxa" w:w="1008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9.877%</w:t>
            </w:r>
          </w:p>
        </w:tc>
        <w:tc>
          <w:tcPr>
            <w:tcW w:type="dxa" w:w="1008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9.856%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−2.1bp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−31.7bp</w:t>
            </w:r>
          </w:p>
        </w:tc>
        <w:tc>
          <w:tcPr>
            <w:tcW w:type="dxa" w:w="122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+61.4bp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+5.8bp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−37.6bp</w:t>
            </w:r>
          </w:p>
        </w:tc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②权重迁移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贷款/资产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69.6%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77.1%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+7.5pp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+6.7pp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+3.7pp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+0.4pp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−3.3pp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①自身扩张</w:t>
            </w:r>
          </w:p>
        </w:tc>
      </w:tr>
      <w:tr>
        <w:tc>
          <w:tcPr>
            <w:tcW w:type="dxa" w:w="201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总风险资本比率</w:t>
            </w:r>
          </w:p>
        </w:tc>
        <w:tc>
          <w:tcPr>
            <w:tcW w:type="dxa" w:w="1008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15.14%</w:t>
            </w:r>
          </w:p>
        </w:tc>
        <w:tc>
          <w:tcPr>
            <w:tcW w:type="dxa" w:w="1008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14.22%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−92bp</w:t>
            </w:r>
          </w:p>
        </w:tc>
        <w:tc>
          <w:tcPr>
            <w:tcW w:type="dxa" w:w="144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−118bp</w:t>
            </w:r>
          </w:p>
        </w:tc>
        <w:tc>
          <w:tcPr>
            <w:tcW w:type="dxa" w:w="122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−10bp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+82bp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−46bp</w:t>
            </w:r>
          </w:p>
        </w:tc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①自身(子集)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①=Σw̄·Δr(持续机构比率变化)；②=Σr̄·Δw(规模权重变化)；③④=进入/退出机构。全期进入=Walden Mutual、Bank of Burlington(de novo)，退出=Northway、Gorham(被并购)。资本比率归因为RWAJT&gt;0报告子集口径。数据见模型 07_组合变化归因。</w:t>
      </w:r>
    </w:p>
    <w:p>
      <w:pPr>
        <w:spacing w:after="60"/>
      </w:pPr>
      <w:r>
        <w:rPr>
          <w:rFonts w:ascii="Calibri" w:hAnsi="Calibri" w:eastAsia="微软雅黑"/>
          <w:b/>
          <w:i w:val="0"/>
          <w:sz w:val="21"/>
        </w:rPr>
        <w:t>归因给出的清晰回答：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信用（非应计、净核销）与贷款扩张的变化，绝大部分（约82%、90%、89%）来自持续机构自身，构成效应有限。信用恶化是"真"的。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盈利（ROA）的变化方向被构成显著修饰：持续机构自身ROA实际下降−18.2bp，但资产向高ROA成长行（Northeast、Camden、Bank of New England）集中带来+10.0bp权重收益，使组合ROA跌幅收窄至−7.6bp。看组合数会低估典型行的盈利压力。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资本（权益/资产）的表面稳定几乎完全由权重迁移（+61.4bp）解释，持续机构自身在去杠杆（−31.7bp）。资本"没变差"是一个构成假象，需在机构层逐一核实。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进入/退出机构影响小但需标注：de novo两家进入拉低盈利、被并购两家退出（Northway/Gorham的资本较厚，退出压低资本比率−46bp）。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五、重要变化的竞争性解释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为避免把观察性关联当作已证明的因果，对三项最重要的变化分别列出合理竞争解释、支持证据与待验证项。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5.1 组合ROA为何下移？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竞争解释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支持证据</w:t>
            </w:r>
          </w:p>
        </w:tc>
        <w:tc>
          <w:tcPr>
            <w:tcW w:type="dxa" w:w="374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削弱证据/待验证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A. 利率周期挤压净息差（主导）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ROA与NIM相关0.78；NIM呈清晰"先压后弹"（顶3.28%/底2.75%/回升3.16%）；样本87%为房地产主导、负债敏感的资产负债表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2025年NIM已回升但ROA未同步修复，说明利率非唯一变量；需拆分各行NIM以确认非个别大行主导</w:t>
            </w:r>
          </w:p>
        </w:tc>
      </w:tr>
      <w:tr>
        <w:tc>
          <w:tcPr>
            <w:tcW w:type="dxa" w:w="273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B. 信用成本（拨备）抬升</w:t>
            </w:r>
          </w:p>
        </w:tc>
        <w:tc>
          <w:tcPr>
            <w:tcW w:type="dxa" w:w="432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拨备/均资产2025Q1-Q2跳升至0.12%；与非应计、分类贷款同向上行一致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拨备跳升高度集中于Camden一家（占38–45%），非普遍；剔除后信用成本对ROA的拖累有限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C. 规模/构成迁移的统计效应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归因显示持续机构自身ROA −18.2bp，远大于组合读数 −7.6bp；权重迁移贡献+10bp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这解释的是"组合读数与典型行的背离"，不解释典型行为何自身走弱；需与A/B叠加理解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综合判断：A（利率挤压NIM）是主导且证据最强的解释，B（信用成本）在2025年叠加放大，C是理解"组合数低估个体压力"的必要修正。三者非互斥。因果关系仍需各行损益表逐项（利息收支、非息、费用）验证——快照未提供完整损益分解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5.2 非应计资产率为何上行且持续？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竞争解释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支持证据</w:t>
            </w:r>
          </w:p>
        </w:tc>
        <w:tc>
          <w:tcPr>
            <w:tcW w:type="dxa" w:w="374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削弱证据/待验证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A. 普遍性资产质量迁移（利率滞后效应）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26/49家非应计上升、9家升幅≥40bp；分类贷款/贷款同步0.32%→0.48%；跨州、跨专业分组均现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高度集中（前10家占66%）；多数机构仍清洁（25家NA&lt;0.25%）——"普遍"是趋势而非水平</w:t>
            </w:r>
          </w:p>
        </w:tc>
      </w:tr>
      <w:tr>
        <w:tc>
          <w:tcPr>
            <w:tcW w:type="dxa" w:w="273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B. 少数大行的个体事件</w:t>
            </w:r>
          </w:p>
        </w:tc>
        <w:tc>
          <w:tcPr>
            <w:tcW w:type="dxa" w:w="432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Bangor 2025Q2单季NA+$25.4mm（占其跳升主因）；Union、Northeast因并购/规模累积NA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仅个别事件不足以解释+11bp的持续机构自身效应；需逐笔核实是否为一次性重分类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C. 并购带来的存量并入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Northeast(+173%)、Maine Community(吸收Gorham)、Camden(吸收Northway)资产跳升伴NA上升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归因中"进入/退出"项对NA贡献仅+0.004/−0.017bp，说明并购非组合NA上行主因，但影响个体读数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综合判断：A（普遍性、利率滞后驱动的资产质量迁移）获最多证据支持，B/C为个体层面的叠加因素。因果方向（利率→借款人偿债→非应计）为经济学合理推断，但快照无逐笔贷款与借款人数据，无法证明；需结合审查级贷款分类明细验证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5.3 权益/资产的"稳定"是否可信？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竞争解释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支持证据</w:t>
            </w:r>
          </w:p>
        </w:tc>
        <w:tc>
          <w:tcPr>
            <w:tcW w:type="dxa" w:w="374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削弱证据/待验证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A. 构成迁移制造的稳定假象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归因：自身去杠杆−31.7bp被权重迁移+61.4bp抵消；资产向资本较厚大行集中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需确认权重迁移是否可持续；若大行增长放缓，组合杠杆可能显性下滑</w:t>
            </w:r>
          </w:p>
        </w:tc>
      </w:tr>
      <w:tr>
        <w:tc>
          <w:tcPr>
            <w:tcW w:type="dxa" w:w="273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B. AOCI随利率波动的账面效应</w:t>
            </w:r>
          </w:p>
        </w:tc>
        <w:tc>
          <w:tcPr>
            <w:tcW w:type="dxa" w:w="432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权益/资产2022Q3下探8.67%后随利率回落修复至9.86%，路径与债券浮亏一致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快照无AOCI单列，无法分离浮亏与留存收益的贡献；需查各行权益构成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C. 各行盈利留存支撑资本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样本多数机构仍盈利（43/51家近四季ROA&gt;0），留存可补充资本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与A矛盾：若留存充足，自身杠杆不应下降−31.7bp；说明部分行资产增速快于资本内生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综合判断：A与B共同解释组合层"稳定"，C在多数机构成立但被少数快速扩张行（资产增速远超盈利留存）稀释。资本的表面稳定不代表个体资本充足，须在机构层逐一核实（10家权益/资产&lt;8%）。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六、持续落后机构识别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以"两个观察窗口（首四季 vs 近四季）均偏弱 + 亏损持续性"为标准，识别真正的持续落后机构，区别于因一次性事件或成长期而暂时走弱的机构。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机构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落后性质</w:t>
            </w:r>
          </w:p>
        </w:tc>
        <w:tc>
          <w:tcPr>
            <w:tcW w:type="dxa" w:w="108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首四季ROA</w:t>
            </w:r>
          </w:p>
        </w:tc>
        <w:tc>
          <w:tcPr>
            <w:tcW w:type="dxa" w:w="108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近四季ROA</w:t>
            </w:r>
          </w:p>
        </w:tc>
        <w:tc>
          <w:tcPr>
            <w:tcW w:type="dxa" w:w="9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期内亏损季</w:t>
            </w:r>
          </w:p>
        </w:tc>
        <w:tc>
          <w:tcPr>
            <w:tcW w:type="dxa" w:w="86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期末NA%</w:t>
            </w:r>
          </w:p>
        </w:tc>
        <w:tc>
          <w:tcPr>
            <w:tcW w:type="dxa" w:w="1152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期末权益/资产</w:t>
            </w:r>
          </w:p>
        </w:tc>
        <w:tc>
          <w:tcPr>
            <w:tcW w:type="dxa" w:w="374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Walden Mutual (59289)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两窗口均负ROA，11连亏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−7.98%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−1.92%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1.94%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10.75%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de novo成长期，亏损收窄中，NA已升至样本最高</w:t>
            </w:r>
          </w:p>
        </w:tc>
      </w:tr>
      <w:tr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Bank of Burlington (59298)</w:t>
            </w:r>
          </w:p>
        </w:tc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两窗口均负ROA，10亏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−2.61%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−0.48%</w:t>
            </w:r>
          </w:p>
        </w:tc>
        <w:tc>
          <w:tcPr>
            <w:tcW w:type="dxa" w:w="936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0.00%</w:t>
            </w:r>
          </w:p>
        </w:tc>
        <w:tc>
          <w:tcPr>
            <w:tcW w:type="dxa" w:w="1152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9.59%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de novo，2025Q1-Q2转正，信用清洁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Salem Co-operative (27824)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10连亏，NIM塌陷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0.30%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−0.53%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0.36%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10.87%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非de novo却持续亏损，NIM 2.87%→1.92%，贷存比120.7%</w:t>
            </w:r>
          </w:p>
        </w:tc>
      </w:tr>
      <w:tr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Bar Harbor S&amp;L (30878)</w:t>
            </w:r>
          </w:p>
        </w:tc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NA高企+持续弱盈利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0.27%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−0.28%</w:t>
            </w:r>
          </w:p>
        </w:tc>
        <w:tc>
          <w:tcPr>
            <w:tcW w:type="dxa" w:w="936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1.37%</w:t>
            </w:r>
          </w:p>
        </w:tc>
        <w:tc>
          <w:tcPr>
            <w:tcW w:type="dxa" w:w="1152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12.02%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抵押专业，NIM仅1.49%，NA 0.54%→1.37%，贷存比117%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Piscataqua Savings (17443)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6连亏，NIM极低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0.55%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−0.31%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0.01%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10.95%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信用清洁但NIM仅1.30%(样本最低)，纯利差问题</w:t>
            </w:r>
          </w:p>
        </w:tc>
      </w:tr>
      <w:tr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Rockland Savings FSB (28369)</w:t>
            </w:r>
          </w:p>
        </w:tc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10亏，规模最小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0.05%</w:t>
            </w:r>
          </w:p>
        </w:tc>
        <w:tc>
          <w:tcPr>
            <w:tcW w:type="dxa" w:w="108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−0.09%</w:t>
            </w:r>
          </w:p>
        </w:tc>
        <w:tc>
          <w:tcPr>
            <w:tcW w:type="dxa" w:w="936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864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0.09%</w:t>
            </w:r>
          </w:p>
        </w:tc>
        <w:tc>
          <w:tcPr>
            <w:tcW w:type="dxa" w:w="1152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9.76%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小微抵押行，盈利长期贴地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首四季=2022Q1-Q4均值，近四季=2024Q3-2025Q2均值。数据见模型 06_银行汇总期末 / 09_优先级评分。</w:t>
      </w:r>
    </w:p>
    <w:p>
      <w:pPr>
        <w:spacing w:after="60"/>
      </w:pPr>
      <w:r>
        <w:rPr>
          <w:rFonts w:ascii="Calibri" w:hAnsi="Calibri" w:eastAsia="微软雅黑"/>
          <w:b/>
          <w:i w:val="0"/>
          <w:sz w:val="21"/>
        </w:rPr>
        <w:t>区分三类"落后"：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成长期亏损（Walden、Bank of Burlington、Millyard、Profile）：de novo或转型机构，亏损属设立期特征，关键看收窄斜率与资本消耗速度，而非即期盈利。Walden与Burlington亏损已在收窄并于2025年接近/转正。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结构性盈利弱（Salem、Piscataqua、Bar Harbor S&amp;L、Rockland）：非de novo却持续亏损，根源是NIM塌陷（Salem −0.96pp、Piscataqua、Bar Harbor S&amp;L NIM仅1.3–1.5%）——低收益的抵押主导资产 + 高成本资金。这是最需要管理层介入的一类，因不会随时间自愈。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大体量+信用/资本叠加（Bangor、Union）：盈利尚正但资本偏薄（Bangor 6.37%、Union 5.85%）且非应计上升（Bangor单季+$25.4mm、Union NA达1.03%），因规模权重大，对组合影响远超其个体读数。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七、改进建议与优先行动方案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7.1 组合层建议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1. </w:t>
      </w:r>
      <w:r>
        <w:rPr>
          <w:rFonts w:ascii="Calibri" w:hAnsi="Calibri" w:eastAsia="微软雅黑"/>
          <w:sz w:val="21"/>
        </w:rPr>
        <w:t>资源聚焦而非普查：信用与非应计风险高度集中（前10家占66%），应将复核资源投向头部权重×信用恶化×资本偏薄的交集，而非对54家平均用力。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2. </w:t>
      </w:r>
      <w:r>
        <w:rPr>
          <w:rFonts w:ascii="Calibri" w:hAnsi="Calibri" w:eastAsia="微软雅黑"/>
          <w:sz w:val="21"/>
        </w:rPr>
        <w:t>建立"利率敏感度 + 资金结构"双维监测：组合盈利由NIM主导（相关0.78）、资金趋紧（贷存比80.5%→93.8%），应对房地产主导、NIM偏薄、贷存比&gt;100%的机构做压力情景（利率再上行/存款流失）测试。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3. </w:t>
      </w:r>
      <w:r>
        <w:rPr>
          <w:rFonts w:ascii="Calibri" w:hAnsi="Calibri" w:eastAsia="微软雅黑"/>
          <w:sz w:val="21"/>
        </w:rPr>
        <w:t>资本充足性以机构层为准，不轻信组合平均：组合权益/资产的稳定是权重迁移假象，10家权益/资产&lt;8%的机构须逐家核实其资本规划与AOCI敞口。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4. </w:t>
      </w:r>
      <w:r>
        <w:rPr>
          <w:rFonts w:ascii="Calibri" w:hAnsi="Calibri" w:eastAsia="微软雅黑"/>
          <w:sz w:val="21"/>
        </w:rPr>
        <w:t>区分成长期与结构性弱盈利：对de novo机构考核亏损收窄与资本消耗；对结构性NIM塌陷机构（Salem、Piscataqua、Bar Harbor S&amp;L）要求重定价/资产负债重构方案。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7.2 机构层建议（按优先行动排序）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优先序</w:t>
            </w:r>
          </w:p>
        </w:tc>
        <w:tc>
          <w:tcPr>
            <w:tcW w:type="dxa" w:w="2448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机构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74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建议管理动作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Bangor Savings (18408)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样本最大权重(10.3%)，2025Q2非应计单季+$25.4mm至$33.5mm，权益/资产6.37%偏薄，ROA仅0.14%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最高优先复核：核实NA跳升是逐笔恶化还是一次性重分类；评估资本补充计划</w:t>
            </w:r>
          </w:p>
        </w:tc>
      </w:tr>
      <w:tr>
        <w:tc>
          <w:tcPr>
            <w:tcW w:type="dxa" w:w="72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244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Walden Mutual (59289)</w:t>
            </w:r>
          </w:p>
        </w:tc>
        <w:tc>
          <w:tcPr>
            <w:tcW w:type="dxa" w:w="432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de novo，11连亏，NA已升至样本最高1.94%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核实亏损收窄可持续性与NA快速上升的资产质量；确认资本消耗速率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Union Bank (14158)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权益/资产5.85%(样本最薄)，NA 1.03%，贷存比99.8%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资本充足性专项；核实NA集中于何种贷款</w:t>
            </w:r>
          </w:p>
        </w:tc>
      </w:tr>
      <w:tr>
        <w:tc>
          <w:tcPr>
            <w:tcW w:type="dxa" w:w="72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244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Salem Co-operative (27824)</w:t>
            </w:r>
          </w:p>
        </w:tc>
        <w:tc>
          <w:tcPr>
            <w:tcW w:type="dxa" w:w="432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非de novo却10连亏，NIM塌陷至1.92%，贷存比120.7%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要求NIM修复与资金结构方案；评估持续亏损对资本的侵蚀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Bar Harbor S&amp;L (30878)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NA 0.54%→1.37%，NIM仅1.49%，贷存比117%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抵押资产质量复核 + 盈利模式评估</w:t>
            </w:r>
          </w:p>
        </w:tc>
      </w:tr>
      <w:tr>
        <w:tc>
          <w:tcPr>
            <w:tcW w:type="dxa" w:w="72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244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First Federal Bath (29636)</w:t>
            </w:r>
          </w:p>
        </w:tc>
        <w:tc>
          <w:tcPr>
            <w:tcW w:type="dxa" w:w="432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NA 0.69%→1.67%(样本升幅最大之一)，抵押集中97.8%</w:t>
            </w:r>
          </w:p>
        </w:tc>
        <w:tc>
          <w:tcPr>
            <w:tcW w:type="dxa" w:w="374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核实抵押资产质量迁移；资本尚厚(14.9%)为缓冲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Franklin Savings ME (19836)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NA 0.30%→1.10%持续上行，资产+32.8%快速扩张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快速扩张伴信用漂移，核实承保标准是否松动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完整16家优先队列（Tier1两家+Tier2十四家）、评分规则、逐家季度明细见模型 09_优先级评分 / 10_重点机构明细，以及配套 priority_follow_up_brief.docx。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7.3 推荐管理层采用的优先行动方案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推荐采用"集中式90天优先复核"方案（而非全样本平摊）：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范围：以模型 09_优先级评分的Tier1+Tier2共16家为优先跟进队列，覆盖信用恶化、资本偏薄、结构性弱盈利、de novo持续亏损四类风险的证据集中处。该队列可从模型与本报告逐格核验（评分=风险标志加权和，阈值透明）。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排序：在16家中，按"规模权重×信用边际变化×资本缓冲"再排序，将Bangor（最大权重+单季NA跳升+资本偏薄）列为组合层第一优先，其余按Tier1（Walden、Bar Harbor S&amp;L）→高信用/资本Tier2（Union、First Federal Bath、Franklin ME、Salem）→结构性弱盈利（Piscataqua、Rockland、Profile）→de novo成长期（Bank of Burlington）依次推进。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动作：每家按 priority_follow_up_brief.docx 的模板执行——关注理由、管理层须回答问题、下一步资料请求（逐笔贷款分类、AOCI/权益构成、完整损益、资金结构、资本规划）、建议行动、监测重点。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sz w:val="21"/>
        </w:rPr>
        <w:t>理由：信用风险集中度高（前10家占66%）、资本表面稳定实为构成假象、盈利由少数大行摆动主导——三者都指向"聚焦头部与证据集中处"的资源配置优于平均用力。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八、假设与限制（结论所依赖）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1. </w:t>
      </w:r>
      <w:r>
        <w:rPr>
          <w:rFonts w:ascii="Calibri" w:hAnsi="Calibri" w:eastAsia="微软雅黑"/>
          <w:sz w:val="21"/>
        </w:rPr>
        <w:t>仅使用所给6个数据文件；未接入外部宏观经济、市场利率、逐笔贷款或监管评级数据。所有归因为观察性关联，不构成因果证明。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2. </w:t>
      </w:r>
      <w:r>
        <w:rPr>
          <w:rFonts w:ascii="Calibri" w:hAnsi="Calibri" w:eastAsia="微软雅黑"/>
          <w:sz w:val="21"/>
        </w:rPr>
        <w:t>快照为期末口径，含2025年内已完成的合并之期末状态，不能等同于2025-06-30当时管理层可得信息；本报告为回顾分析，非当时信息回测。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3. </w:t>
      </w:r>
      <w:r>
        <w:rPr>
          <w:rFonts w:ascii="Calibri" w:hAnsi="Calibri" w:eastAsia="微软雅黑"/>
          <w:sz w:val="21"/>
        </w:rPr>
        <w:t>组合聚合剔除信托公司(35206)以避免ROA扭曲；总风险资本比率仅覆盖RWAJT&gt;0报告子集(2025Q2为37/52家)，且子集成员随时间变化，跨期资本比率比较需谨慎。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4. </w:t>
      </w:r>
      <w:r>
        <w:rPr>
          <w:rFonts w:ascii="Calibri" w:hAnsi="Calibri" w:eastAsia="微软雅黑"/>
          <w:sz w:val="21"/>
        </w:rPr>
        <w:t>财务快照无逐笔贷款分类明细、无证券组合/表外项目、无完整损益分解；信用与盈利判断依赖汇总代理指标，可能错判个别机构。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5. </w:t>
      </w:r>
      <w:r>
        <w:rPr>
          <w:rFonts w:ascii="Calibri" w:hAnsi="Calibri" w:eastAsia="微软雅黑"/>
          <w:sz w:val="21"/>
        </w:rPr>
        <w:t>de novo(Walden、Burlington、Millyard、Primary)与被并购(Northway、Gorham、Woodsville)机构导致面板非平衡；已用对称shift-share分离持续机构与构成/权重效应，但个体行的早期缺失使其"全期变化"部分不可比。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6. </w:t>
      </w:r>
      <w:r>
        <w:rPr>
          <w:rFonts w:ascii="Calibri" w:hAnsi="Calibri" w:eastAsia="微软雅黑"/>
          <w:sz w:val="21"/>
        </w:rPr>
        <w:t>拨备(ELNATRY)、净核销(NTLNLSA)为年化字段，季度间波动大；单季读数须结合趋势解读，不应孤立引用。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7. </w:t>
      </w:r>
      <w:r>
        <w:rPr>
          <w:rFonts w:ascii="Calibri" w:hAnsi="Calibri" w:eastAsia="微软雅黑"/>
          <w:sz w:val="21"/>
        </w:rPr>
        <w:t>优先级评分权重经分析师设定(非监管阈值)，用于把有限资源导向证据集中处；阈值为可调参数，不等同于监管结论或信用评级。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1"/>
        </w:rPr>
        <w:t xml:space="preserve">8. </w:t>
      </w:r>
      <w:r>
        <w:rPr>
          <w:rFonts w:ascii="Calibri" w:hAnsi="Calibri" w:eastAsia="微软雅黑"/>
          <w:sz w:val="21"/>
        </w:rPr>
        <w:t>样本为三州54家，结论仅适用于该样本，不得外推为全国或全州银行业判断。</w:t>
      </w:r>
    </w:p>
    <w:p/>
    <w:p>
      <w:pPr>
        <w:spacing w:after="120"/>
      </w:pPr>
      <w:r>
        <w:rPr>
          <w:rFonts w:ascii="Calibri" w:hAnsi="Calibri" w:eastAsia="微软雅黑"/>
          <w:b w:val="0"/>
          <w:i/>
          <w:color w:val="595959"/>
          <w:sz w:val="19"/>
        </w:rPr>
        <w:t>配套交付物：regional_bank_risk_model.xlsx（可复核数据底座，含逐格明细、归因与评分）；priority_follow_up_brief.docx（16家优先跟进队列的逐家行动方案与90天监测安排）。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