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864"/>
          <w:sz w:val="40"/>
        </w:rPr>
        <w:t>北新英格兰银行组合</w:t>
        <w:br/>
        <w:t>优先跟进简报</w:t>
      </w:r>
    </w:p>
    <w:p>
      <w:pPr>
        <w:jc w:val="center"/>
      </w:pPr>
      <w:r>
        <w:rPr>
          <w:rFonts w:ascii="Calibri" w:hAnsi="Calibri" w:eastAsia="微软雅黑"/>
          <w:color w:val="595959"/>
          <w:sz w:val="21"/>
        </w:rPr>
        <w:t>评估期 2022-03-31 至 2025-06-30 · 面向未来90天管理安排 · 假设性内部用途</w:t>
      </w:r>
    </w:p>
    <w:p>
      <w:pPr>
        <w:jc w:val="center"/>
      </w:pPr>
      <w:r>
        <w:rPr>
          <w:rFonts w:ascii="Calibri" w:hAnsi="Calibri" w:eastAsia="微软雅黑"/>
          <w:i/>
          <w:color w:val="595959"/>
          <w:sz w:val="18"/>
        </w:rPr>
        <w:t>配套：regional_bank_risk_model.xlsx（评分与明细）· operating_performance_diagnosis.docx（诊断）</w:t>
      </w:r>
    </w:p>
    <w:p/>
    <w:p>
      <w:pPr>
        <w:pStyle w:val="Heading1"/>
      </w:pPr>
      <w:r>
        <w:rPr>
          <w:rFonts w:ascii="Calibri" w:hAnsi="Calibri" w:eastAsia="微软雅黑"/>
          <w:color w:val="1F3864"/>
        </w:rPr>
        <w:t>一、优先跟进范围与选择依据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本简报不设固定名单或数量，而是采用可核验的规则化范围：以模型 09_优先级评分 的透明评分，选取 Tier 1（加权分≥6）与 Tier 2（3≤分&lt;6）机构，共 16 家，作为未来90天的优先跟进队列。其余 37 家为 Tier 3 常规监测，信托公司（CERT 35206，无贷款业务）不参与信用评分。选择完全可从模型逐格核验：每家评分 = 若干风险标志的加权和，标志阈值与权重公开列示。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纳入队列的风险标志（任一触发即计入，加权求和）：非应计≥0.75%资产(权重2)、非应计较期初+40bp(1.5)、近四季ROA&lt;0(2.5)、近四季ROA&lt;0.30%(1)、连续亏损≥4季(2)、权益/资产&lt;8%(1.5)、总风险资本&lt;12.5%[报告者](1)、贷款/存款&gt;100%(0.5)、房地产&gt;90%或工商业&gt;40%集中(0.5)、全期资产增长&gt;50%且非应计+20bp(1)、de novo且期内亏损≥6季(1.5)。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优先队列分层</w:t>
            </w:r>
          </w:p>
        </w:tc>
        <w:tc>
          <w:tcPr>
            <w:tcW w:type="dxa" w:w="72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家数</w:t>
            </w:r>
          </w:p>
        </w:tc>
        <w:tc>
          <w:tcPr>
            <w:tcW w:type="dxa" w:w="6048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机构（按评分）</w:t>
            </w:r>
          </w:p>
        </w:tc>
        <w:tc>
          <w:tcPr>
            <w:tcW w:type="dxa" w:w="2304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选择逻辑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sz w:val="18"/>
              </w:rPr>
              <w:t>Tier 1 优先跟进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sz w:val="18"/>
              </w:rPr>
              <w:t>Walden Mutual(8.5)、Bar Harbor S&amp;L(7.0)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微软雅黑"/>
                <w:sz w:val="18"/>
              </w:rPr>
              <w:t>证据最集中：信用+盈利+资金多重叠加</w:t>
            </w:r>
          </w:p>
        </w:tc>
      </w:tr>
      <w:tr>
        <w:tc>
          <w:tcPr>
            <w:tcW w:type="dxa" w:w="1872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Tier 2 加强监测</w:t>
            </w:r>
          </w:p>
        </w:tc>
        <w:tc>
          <w:tcPr>
            <w:tcW w:type="dxa" w:w="720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14</w:t>
            </w:r>
          </w:p>
        </w:tc>
        <w:tc>
          <w:tcPr>
            <w:tcW w:type="dxa" w:w="6048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Union(5.5)、First Federal Bath(5.5)、Salem(5.0)、Piscataqua(5.0)、Franklin ME(4.5)、First Seacoast(4.5)、Primary(4.0)、Bangor(4.0)、Bank of Burlington(4.0)、Orwell(3.5)、Auburn FSB(3.5)、Profile(3.0)、Merrimack County(3.0)、Rockland(3.0)</w:t>
            </w:r>
          </w:p>
        </w:tc>
        <w:tc>
          <w:tcPr>
            <w:tcW w:type="dxa" w:w="2304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信用恶化 / 资本偏薄 / 结构性弱盈利 / de novo持续亏损 四类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评分、标志触发与分层见模型 09_优先级评分；每家完整季度序列见模型 10_重点机构明细。阈值为分析师设定的可调参数，非监管标准。</w:t>
      </w:r>
    </w:p>
    <w:p>
      <w:pPr>
        <w:spacing w:after="60"/>
      </w:pPr>
      <w:r>
        <w:rPr>
          <w:rFonts w:ascii="Calibri" w:hAnsi="Calibri" w:eastAsia="微软雅黑"/>
          <w:b/>
          <w:i w:val="0"/>
          <w:sz w:val="21"/>
        </w:rPr>
        <w:t>一个重要的范围补充（组合层最优先复核）：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Bangor Savings Bank（CERT 18408）虽评分4.0属Tier 2，但它是样本内最大权重机构（$7.34bn，占总资产10.3%），且2025Q2单季非应计跳升+$25.4mm至$33.5mm（占组合非应计13%），叠加权益/资产仅6.37%、总风险资本11.1%偏低。按"规模权重×信用边际变化×资本缓冲"排序，应列为组合层第一优先复核对象，排在纯评分序之前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二、90天推进安排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将16家按证据强度与规模权重分三波推进，避免一次性铺开导致复核深度不足。每波遵循统一模板（关注理由→管理层问题→资料请求→建议行动→监测重点，见第三节逐家卡片）。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波次</w:t>
            </w:r>
          </w:p>
        </w:tc>
        <w:tc>
          <w:tcPr>
            <w:tcW w:type="dxa" w:w="1152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时间窗</w:t>
            </w:r>
          </w:p>
        </w:tc>
        <w:tc>
          <w:tcPr>
            <w:tcW w:type="dxa" w:w="417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机构</w:t>
            </w:r>
          </w:p>
        </w:tc>
        <w:tc>
          <w:tcPr>
            <w:tcW w:type="dxa" w:w="2736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工作重心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里程碑产出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第1波 立即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第0–30天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Bangor、Walden、Union、Bar Harbor S&amp;L、First Federal Bath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最大权重/最薄资本/最高非应计：核实信用跳升性质与资本充足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5家复核纪要 + 资料请求清单发出</w:t>
            </w:r>
          </w:p>
        </w:tc>
      </w:tr>
      <w:tr>
        <w:tc>
          <w:tcPr>
            <w:tcW w:type="dxa" w:w="129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第2波</w:t>
            </w:r>
          </w:p>
        </w:tc>
        <w:tc>
          <w:tcPr>
            <w:tcW w:type="dxa" w:w="1152"/>
            <w:shd w:val="clear" w:fill="EDF1F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第31–60天</w:t>
            </w:r>
          </w:p>
        </w:tc>
        <w:tc>
          <w:tcPr>
            <w:tcW w:type="dxa" w:w="417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Salem、Franklin ME、Piscataqua、First Seacoast、Primary</w:t>
            </w:r>
          </w:p>
        </w:tc>
        <w:tc>
          <w:tcPr>
            <w:tcW w:type="dxa" w:w="2736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结构性弱盈利与快速扩张伴信用漂移：盈利模式与承保标准</w:t>
            </w:r>
          </w:p>
        </w:tc>
        <w:tc>
          <w:tcPr>
            <w:tcW w:type="dxa" w:w="2160"/>
            <w:shd w:val="clear" w:fill="EDF1F8"/>
          </w:tcPr>
          <w:p>
            <w:r/>
            <w:r>
              <w:rPr>
                <w:rFonts w:ascii="Calibri" w:hAnsi="Calibri" w:eastAsia="微软雅黑"/>
                <w:sz w:val="18"/>
              </w:rPr>
              <w:t>5家复核纪要 + NIM/承保专项结论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sz w:val="18"/>
              </w:rPr>
              <w:t>第3波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sz w:val="18"/>
              </w:rPr>
              <w:t>第61–90天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sz w:val="18"/>
              </w:rPr>
              <w:t>Bank of Burlington、Merrimack、Orwell、Auburn FSB、Profile、Rockland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sz w:val="18"/>
              </w:rPr>
              <w:t>de novo成长期 + 小微抵押行：亏损收窄斜率与资本消耗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8"/>
              </w:rPr>
              <w:t>6家复核纪要 + 全队列90天复盘</w:t>
            </w:r>
          </w:p>
        </w:tc>
      </w:tr>
    </w:tbl>
    <w:p>
      <w:pPr>
        <w:spacing w:after="160"/>
      </w:pPr>
      <w:r>
        <w:rPr>
          <w:rFonts w:ascii="Calibri" w:hAnsi="Calibri" w:eastAsia="微软雅黑"/>
          <w:b w:val="0"/>
          <w:i/>
          <w:color w:val="595959"/>
          <w:sz w:val="17"/>
        </w:rPr>
        <w:t>波次依据=模型评分 + 规模权重 + 信用边际变化。第1波含样本最大权重行(Bangor)与全部Tier1(Walden, Bar Harbor S&amp;L)及两家最高非应计/最薄资本行(Union, First Federal Bath)。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三、逐家跟进卡片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每张卡片均标注：期末规模、近四季ROA、非应计率（期初→期末）、权益/资产、总风险资本、净息差、贷款/存款、亏损季数与触发的风险标志。全部数据可回溯至模型 05/06/09/10 表。金额为千美元口径换算。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第1波（第0–30天，立即复核）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1. Bangor Savings Bank  </w:t>
      </w:r>
      <w:r>
        <w:rPr>
          <w:rFonts w:ascii="Calibri" w:hAnsi="Calibri" w:eastAsia="微软雅黑"/>
          <w:color w:val="595959"/>
          <w:sz w:val="19"/>
        </w:rPr>
        <w:t>(CERT 18408)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Commercial · $7,335,916千(样本最大, 权重10.3%) · 评分4.0 Tier2【组合层第一优先】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组合最大权重行，2025Q2非应计单季+$25.4mm至$33.5mm(占组合NA 13%)、NA/资产0.07%→0.46%；ROA_t4仅0.14%(首四季0.69%)；权益/资产6.37%、总风险资本11.1%均偏薄；房地产集中90%。触发：低ROA、资本偏薄、总风险资本偏低、房地产集中。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2025Q2的+$25.4mm非应计跳升是逐笔资产质量恶化，还是单笔大额贷款/一次重分类？涉及哪些贷款类别与借款人集中度？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拨备覆盖率降至0.75%、拨备/均资产升至0.20%——当前ALLL是否足以覆盖已迁移的分类资产(分类贷款0.66%)？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权益/资产6.37%与总风险资本11.1%是否有资本补充计划？非应计若继续上行，资本缓冲可支撑到什么水平？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2025Q2非应计与分类贷款的逐笔明细、迁移台账及抵押品估值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ALLL充足性分析与CECL模型假设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未来4季资本规划与压力情景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房地产贷款(尤其CRE)集中度与承保标准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列为组合层最高优先：先定性NA跳升性质(一次性 vs 趋势)，再据以决定监测频率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若为趋势性恶化，要求管理层提交资本与拨备补充方案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将Bangor纳入组合非应计的单独监测项(因其权重足以左右组合读数)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季度非应计与分类贷款迁移、ALLL/贷款、权益/资产与总风险资本、房地产集中度；重点看2025Q3 NA是否延续Q2跳升还是回落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2. Walden Mutual Bank  </w:t>
      </w:r>
      <w:r>
        <w:rPr>
          <w:rFonts w:ascii="Calibri" w:hAnsi="Calibri" w:eastAsia="微软雅黑"/>
          <w:color w:val="595959"/>
          <w:sz w:val="19"/>
        </w:rPr>
        <w:t>(CERT 59289)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Commercial · de novo(2022-10) · $145,991千 · 评分8.5 Tier1【最高分】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唯一评分≥8者。de novo自2022Q4起11个季度连续亏损(ROA_t4 −1.92%)，非应计已升至样本最高1.94%、分类贷款2.67%、逾期(P3)$3.5mm；工商业贷款集中49%(de novo商业放贷模式)。触发：非应计高、近四季ROA&lt;0、连亏≥4季、高集中、de novo亏损。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亏损收窄轨迹(−12.5%→−0.24% ROA)是否可持续？何时预计盈亏平衡？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非应计快速升至1.94%反映何种资产质量问题？是否与工商业集中相关？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当前资本(EQ 10.75%)按现有烧钱速度可支撑多久？是否有增资安排？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逐季损益分解与盈亏平衡预测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非应计/分类贷款逐笔明细与工商业承保标准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资本充足性预测与融资计划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设立期业务规划 vs 实际达成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区分"成长期亏损"与"资产质量恶化"：亏损收窄是积极信号，但NA升至样本最高需独立核实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确认资本消耗速率与外部增资可行性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评估工商业集中的承保质量(样本中CI占比最高者之一)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季度净亏损收窄斜率、非应计与分类贷款、权益/资产消耗速度、工商业贷款表现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3. Union Bank  </w:t>
      </w:r>
      <w:r>
        <w:rPr>
          <w:rFonts w:ascii="Calibri" w:hAnsi="Calibri" w:eastAsia="微软雅黑"/>
          <w:color w:val="595959"/>
          <w:sz w:val="19"/>
        </w:rPr>
        <w:t>(CERT 14158)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VT · Commercial · $1,479,452千 · 评分5.5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样本最薄资本：权益/资产仅5.85%(样本最低)、总风险资本12.6%；非应计0.36%→1.03%、逾期仍存(P3 $1.3mm)；贷款/存款99.8%接近满负荷；ROA_t4 0.67%(较首四季1.00%下滑)。触发：非应计高、非应计+40bp、资本偏薄、房地产集中93%。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权益/资产5.85%为样本最低——是否为主动高杠杆策略？资本规划如何？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非应计从0.36%升至1.03%的驱动？房地产集中93%下的抵押品敞口？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贷款/存款近100%，进一步放贷的资金来源？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资本结构与规划、AOCI敞口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非应计/房地产贷款逐笔与抵押品估值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资金结构(存款稳定性、借款依赖)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资本充足性专项复核(样本最薄杠杆)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核实非应计上行是否集中于房地产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评估资金缓冲与贷存比压力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权益/资产、总风险资本、非应计率、贷款/存款、房地产集中度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4. Bar Harbor Savings and Loan Association  </w:t>
      </w:r>
      <w:r>
        <w:rPr>
          <w:rFonts w:ascii="Calibri" w:hAnsi="Calibri" w:eastAsia="微软雅黑"/>
          <w:color w:val="595959"/>
          <w:sz w:val="19"/>
        </w:rPr>
        <w:t>(CERT 30878)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Mortgage · $98,909千 · 评分7.0 Tier1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Tier1。抵押专业行，非应计0.54%→1.37%、分类贷款1.57%；NIM仅1.49%(样本最低档)、近四季ROA −0.28%(期内7个亏损季)；贷款/存款117%资金偏紧；规模小($98.9mm)。触发：非应计高、非应计+40bp、近四季ROA&lt;0、贷存比&gt;100%、房地产集中100%。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NIM仅1.49%的盈利模式是否可持续？低收益抵押资产 vs 资金成本错配程度？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非应计翻倍至1.37%的抵押资产质量？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贷款/存款117%，资金依赖批发的程度与稳定性？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损益分解(利息收支、资金成本)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抵押贷款逐笔质量与逾期台账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资金结构与批发融资明细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资产负债重定价期限结构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结构性弱盈利(非de novo却持续亏损)：要求NIM修复/资产负债重构方案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核实抵押资产质量迁移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评估小规模+高贷存比的资金脆弱性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NIM、非应计与分类贷款、贷款/存款、季度盈亏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5. First Federal Savings and Loan Association of Bath  </w:t>
      </w:r>
      <w:r>
        <w:rPr>
          <w:rFonts w:ascii="Calibri" w:hAnsi="Calibri" w:eastAsia="微软雅黑"/>
          <w:color w:val="595959"/>
          <w:sz w:val="19"/>
        </w:rPr>
        <w:t>(CERT 29636)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Mortgage · $185,573千 · 评分5.5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非应计升幅样本最大之一：0.69%→1.67%、分类贷款2.11%、逾期(P3)$4.2mm；抵押集中97.8%；但资本厚(权益14.9%、总风险资本27.2%)、ROA_t4 0.27%偏低。触发：非应计高、非应计+40bp、低ROA、贷存比104%、房地产集中。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非应计从0.69%升至1.67%(升幅+0.99pp为样本最大)的驱动？是否集中于某类抵押产品？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分类贷款2.11%较高——拨备覆盖率1.33%是否充足？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资本充足(27.2%)为缓冲，但盈利偏弱(ROA 0.27%)的可持续性？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非应计/分类贷款逐笔与抵押品估值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ALLL充足性分析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损益分解与盈利改善路径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核实抵押资产质量迁移(升幅样本最大)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资本厚为处置争取时间，聚焦盈利修复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确认拨备是否跟上分类资产节奏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非应计与分类贷款、ALLL/贷款、ROA、抵押集中度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第2波（第31–60天）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6. Salem Co-operative Bank  </w:t>
      </w:r>
      <w:r>
        <w:rPr>
          <w:rFonts w:ascii="Calibri" w:hAnsi="Calibri" w:eastAsia="微软雅黑"/>
          <w:color w:val="595959"/>
          <w:sz w:val="19"/>
        </w:rPr>
        <w:t>(CERT 27824)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Commercial · $571,650千 · 评分5.0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非de novo却10个季度连续亏损(ROA_t4 −0.53%)；NIM从2.87%塌陷至1.92%(降0.96pp,样本最大)；贷款/存款120.7%(样本最高)；非应计温和0.36%。触发：近四季ROA&lt;0、连亏≥4季、贷存比&gt;100%。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连续10季亏损的根源？NIM塌陷0.96pp是负债成本还是资产收益问题？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贷款/存款120.7%为样本最高——资金高度依赖批发，稳定性与成本？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持续亏损对资本(现10.87%)的侵蚀速度？盈亏平衡路径？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完整损益分解(利息收支、非息、费用)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资金结构与批发融资成本/期限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资产负债重定价与NIM修复方案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资本规划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结构性弱盈利典型：NIM塌陷+高贷存比+持续亏损，不会自愈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要求管理层提交盈利修复与资金结构方案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评估亏损对资本的累积侵蚀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季度盈亏与NIM、贷款/存款、权益/资产、非应计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7. Franklin Savings Bank (ME)  </w:t>
      </w:r>
      <w:r>
        <w:rPr>
          <w:rFonts w:ascii="Calibri" w:hAnsi="Calibri" w:eastAsia="微软雅黑"/>
          <w:color w:val="595959"/>
          <w:sz w:val="19"/>
        </w:rPr>
        <w:t>(CERT 19836)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Commercial · $755,186千 · 评分4.5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快速扩张伴信用漂移：资产全期+32.8%、非应计0.30%→1.10%、逾期(P3)$5.1mm；资本很厚(权益17.3%、总风险资本23.1%)、ROA_t4 0.74%尚可；贷款/存款109%。触发：非应计高、非应计+40bp、贷存比&gt;100%、房地产集中91%。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资产快速扩张(+32.8%)期间承保标准是否松动？非应计升至1.10%是否为扩张后遗症？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注意：缅因州另有一家同名Franklin Savings Bank(CERT 17951, NH)，勿混淆——本卡片为ME的CERT 19836。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资本厚为缓冲，但信用漂移是否需前瞻拨备？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新增贷款的承保标准与vintage表现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非应计/逾期逐笔与迁移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拨备充足性(前瞻)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核实快速扩张的信用质量(vintage分析)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资本厚提供缓冲，聚焦承保标准是否随扩张放松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区分ME(19836)与NH(17951)两家同名行避免误判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资产增速、非应计与逾期、新增贷款表现、贷款/存款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8. Piscataqua Savings Bank  </w:t>
      </w:r>
      <w:r>
        <w:rPr>
          <w:rFonts w:ascii="Calibri" w:hAnsi="Calibri" w:eastAsia="微软雅黑"/>
          <w:color w:val="595959"/>
          <w:sz w:val="19"/>
        </w:rPr>
        <w:t>(CERT 17443)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Mortgage · $366,584千 · 评分5.0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信用清洁(非应计仅0.01%)但结构性弱盈利：6个季度连亏(ROA_t4 −0.31%)，NIM仅1.30%(样本最低)，抵押集中99%；贷款/存款71%(资金不紧)。触发：近四季ROA&lt;0、连亏≥4季、房地产集中。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信用无虞但持续亏损——纯粹是NIM 1.30%的利差问题？低收益抵押资产结构？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贷款/存款仅71%，大量资金投向低收益资产？配置效率？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盈亏平衡需要NIM回升到什么水平？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损益分解与资产收益结构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证券/资金配置(为何贷存比低仍亏损)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资产负债重构可行性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纯利差型弱盈利(非信用问题)：聚焦资产端收益提升与配置效率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信用清洁可降低复核频率，但盈利可持续性需评估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NIM、季度盈亏、资产配置、贷款/存款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9. First Seacoast Bank  </w:t>
      </w:r>
      <w:r>
        <w:rPr>
          <w:rFonts w:ascii="Calibri" w:hAnsi="Calibri" w:eastAsia="微软雅黑"/>
          <w:color w:val="595959"/>
          <w:sz w:val="19"/>
        </w:rPr>
        <w:t>(CERT 29744)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Mortgage · $605,109千 · 评分4.5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期内8个亏损季、近四季ROA −0.17%、连续3季亏损；权益/资产7.36%偏薄；但2023Q4曾现单季巨亏(NETINCA −$10.7mm, ROA −1.93%, 疑一次性)；非应计0.00%(清洁)；NIM 2.33%偏低。触发：近四季ROA&lt;0、资本偏薄、房地产集中91%。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2023Q4单季−$10.7mm巨亏是否为一次性事件(证券出售/减值/诉讼)？须与经营性亏损区分。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剔除一次性后，核心盈利能力如何？连续3季亏损是否延续？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权益/资产7.36%偏薄，一次性损失是否已侵蚀资本？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2023Q4损益明细与一次性项目说明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核心(剔除一次性)损益趋势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资本构成与规划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优先厘清2023Q4巨亏性质(一次性 vs 经营)——直接影响是否列持续落后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若为一次性，聚焦核心盈利修复与资本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非应计清洁，信用非主要矛盾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季度盈亏(区分一次性)、NIM、权益/资产、核心盈利趋势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10. Primary Bank  </w:t>
      </w:r>
      <w:r>
        <w:rPr>
          <w:rFonts w:ascii="Calibri" w:hAnsi="Calibri" w:eastAsia="微软雅黑"/>
          <w:color w:val="595959"/>
          <w:sz w:val="19"/>
        </w:rPr>
        <w:t>(CERT 59086)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Commercial · de novo(2015) · $724,753千 · 评分4.0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盈利强劲(ROA_t4 1.47%)但信用需关注：非应计0.30%→0.83%、分类贷款2.23%、90+逾期(P9)$7.8mm(样本较高)；工商业集中20%；资本充足(权益14.6%、总风险资本16.8%)。触发：非应计高、非应计+40bp、贷存比100%。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盈利良好但分类贷款2.23%、P9逾期$7.8mm偏高——资产质量是否在恶化？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工商业集中20%的承保质量？逾期是否集中于此？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拨备覆盖率0.97%对分类资产是否充足？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分类贷款与90+逾期逐笔明细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工商业贷款承保与表现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盈利强提供缓冲，重点核实分类贷款与P9逾期的迁移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评估工商业集中的信用质量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非应计、分类贷款、90+逾期、ALLL、工商业表现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第3波（第61–90天）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11. Bank of Burlington (The Business Bank)  </w:t>
      </w:r>
      <w:r>
        <w:rPr>
          <w:rFonts w:ascii="Calibri" w:hAnsi="Calibri" w:eastAsia="微软雅黑"/>
          <w:color w:val="595959"/>
          <w:sz w:val="19"/>
        </w:rPr>
        <w:t>(CERT 59298)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VT · Commercial · de novo(2022-08) · $269,483千 · 评分4.0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de novo，10个季度亏损但2025Q1-Q2已转正(ROA 0.02%/0.06%)；非应计0.00%(清洁)；工商业集中24%；贷款/存款61%(资金充裕)；资本9.59%、总风险资本16.9%。触发：近四季ROA&lt;0、de novo亏损≥6季。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2025年转正是可持续的盈亏平衡，还是波动？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de novo成长期的资本消耗与增资安排？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工商业集中24%的承保质量(目前信用清洁)？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设立期规划 vs 实际、盈亏平衡分析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资本规划与融资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工商业贷款承保标准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成长期机构：关键看转正可持续性与资本消耗，非即期风险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信用清洁可降低复核强度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若转正稳固，考虑移出优先队列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季度盈亏(转正是否延续)、非应计、资本消耗、工商业表现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12. Merrimack County Savings Bank  </w:t>
      </w:r>
      <w:r>
        <w:rPr>
          <w:rFonts w:ascii="Calibri" w:hAnsi="Calibri" w:eastAsia="微软雅黑"/>
          <w:color w:val="595959"/>
          <w:sz w:val="19"/>
        </w:rPr>
        <w:t>(CERT 17960)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Commercial · $1,351,508千 · 评分3.0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非应计0.04%→0.57%(升幅大)、逾期(P3)$5.2mm；ROA_t4 0.25%偏低(首四季0.80%)；权益/资产8.83%、总风险资本13.8%；拨备/均资产升至0.16%；贷款/存款103%。触发：非应计+40bp、低ROA、贷存比&gt;100%。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非应计从极低0.04%升至0.57%的驱动？是否新增大额问题贷款？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ROA从0.80%降至0.25%——利差还是拨备(升至0.16%)拖累？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拨备上升是否为前瞻计提？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非应计/逾期逐笔与迁移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损益分解(拨备 vs 利差)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核实非应计上行性质(基数低,升幅显著)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评估盈利下滑是拨备还是利差驱动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非应计与逾期、ROA、拨备/均资产、贷款/存款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13. The First National Bank of Orwell  </w:t>
      </w:r>
      <w:r>
        <w:rPr>
          <w:rFonts w:ascii="Calibri" w:hAnsi="Calibri" w:eastAsia="微软雅黑"/>
          <w:color w:val="595959"/>
          <w:sz w:val="19"/>
        </w:rPr>
        <w:t>(CERT 6280)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VT · Mortgage · $87,770千 · 评分3.5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小规模抵押行；非应计持续偏高1.00%→1.66%、分类贷款1.99%；但盈利良好(ROA_t4 1.34%)、NIM高(4.54%)、资本充足(权益11.34%)。触发：非应计高、非应计+40bp。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非应计升至1.66%但盈利仍强——问题贷款是否已充分拨备(ALLL 1.30%)？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小规模+高非应计+抵押集中89%的处置能力？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高盈利能否吸收潜在信用损失？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非应计/分类贷款逐笔与抵押品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ALLL充足性(拨备覆盖率1.30%)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信用偏弱但盈利与资本提供缓冲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核实非应计是否已充分计提、处置进度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小规模行关注单一大额敞口的集中度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非应计与分类贷款、ALLL/贷款、盈利、抵押集中度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14. Auburn Savings Bank, FSB  </w:t>
      </w:r>
      <w:r>
        <w:rPr>
          <w:rFonts w:ascii="Calibri" w:hAnsi="Calibri" w:eastAsia="微软雅黑"/>
          <w:color w:val="595959"/>
          <w:sz w:val="19"/>
        </w:rPr>
        <w:t>(CERT 28288)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Mortgage · $102,731千 · 评分3.5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资本偏薄：权益/资产6.10%(样本次低)、总风险资本13.2%；ROA_t4 0.15%偏低；非应计已改善0.66%→0.10%；贷款/存款107%；规模小($102.7mm)。触发：低ROA、资本偏薄、贷存比&gt;100%、房地产集中91%。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权益/资产6.10%偏薄——资本规划？小行资本补充渠道？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非应计已改善至0.10%(积极)，但盈利仍弱(ROA 0.15%)的根源？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贷款/存款107%的资金稳定性？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资本结构与规划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损益分解与盈利改善路径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资金结构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非应计改善是积极信号，聚焦资本偏薄与弱盈利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评估小规模行的资本补充可行性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权益/资产、总风险资本、ROA、非应计、贷款/存款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15. Profile Bank  </w:t>
      </w:r>
      <w:r>
        <w:rPr>
          <w:rFonts w:ascii="Calibri" w:hAnsi="Calibri" w:eastAsia="微软雅黑"/>
          <w:color w:val="595959"/>
          <w:sz w:val="19"/>
        </w:rPr>
        <w:t>(CERT 28155)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NH · Commercial · $317,001千 · 评分3.0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6个亏损季、近四季ROA −0.04%、连续3季亏损；非应计清洁(0.00%)；NIM 2.66%偏低；贷款/存款63%(资金充裕)；权益/资产8.67%、总风险资本17.2%；拨备覆盖率仅0.42%(偏低)。触发：近四季ROA&lt;0、房地产集中92%。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连续亏损但信用清洁、资金充裕——盈利问题根源(NIM 2.66% + 费用)？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拨备覆盖率仅0.42%偏低——是否反映贷款损失风险低，还是计提不足？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房地产集中92%的收益结构？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损益分解(NIM、非息、费用效率)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ALLL充足性(覆盖率0.42%的合理性)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资产配置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盈利修复为核心(信用非矛盾)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核实低拨备覆盖率的合理性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资金充裕下应评估资产配置效率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季度盈亏、NIM、费用效率、ALLL/贷款、非应计</w:t>
      </w:r>
    </w:p>
    <w:p>
      <w:pPr>
        <w:spacing w:after="20" w:before="160"/>
      </w:pPr>
      <w:r>
        <w:rPr>
          <w:rFonts w:ascii="Calibri" w:hAnsi="Calibri" w:eastAsia="微软雅黑"/>
          <w:b/>
          <w:color w:val="1F3864"/>
          <w:sz w:val="23"/>
        </w:rPr>
        <w:t xml:space="preserve">16. Rockland Savings Bank, FSB  </w:t>
      </w:r>
      <w:r>
        <w:rPr>
          <w:rFonts w:ascii="Calibri" w:hAnsi="Calibri" w:eastAsia="微软雅黑"/>
          <w:color w:val="595959"/>
          <w:sz w:val="19"/>
        </w:rPr>
        <w:t>(CERT 28369)</w:t>
      </w:r>
    </w:p>
    <w:p>
      <w:pPr>
        <w:spacing w:after="60"/>
      </w:pPr>
      <w:r>
        <w:rPr>
          <w:rFonts w:ascii="Calibri" w:hAnsi="Calibri" w:eastAsia="微软雅黑"/>
          <w:i/>
          <w:color w:val="C05000"/>
          <w:sz w:val="18"/>
        </w:rPr>
        <w:t>ME · Mortgage · $93,177千 · 评分3.0 Tier2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关注理由：</w:t>
      </w:r>
      <w:r>
        <w:rPr>
          <w:rFonts w:ascii="Calibri" w:hAnsi="Calibri" w:eastAsia="微软雅黑"/>
          <w:sz w:val="19"/>
        </w:rPr>
        <w:t>样本最小行之一($93.2mm)；10个季度亏损但幅度小(ROA_t4 −0.09%)；非应计已改善0.52%→0.09%；NIM尚可3.43%；贷款/存款108%；权益/资产9.76%、总风险资本14.1%。触发：近四季ROA&lt;0、贷存比&gt;100%。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需管理层回答的问题：</w:t>
      </w:r>
      <w:r>
        <w:rPr>
          <w:rFonts w:ascii="Calibri" w:hAnsi="Calibri" w:eastAsia="微软雅黑"/>
          <w:sz w:val="19"/>
        </w:rPr>
        <w:t>长期微亏(10季)的根源——规模不经济？NIM 3.43%尚可但费用拖累？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非应计已改善至0.09%(积极)，信用非主要矛盾。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最小规模($93mm)+高贷存比108%的经营可持续性与资金脆弱性？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下一步资料请求：</w:t>
      </w:r>
      <w:r>
        <w:rPr>
          <w:rFonts w:ascii="Calibri" w:hAnsi="Calibri" w:eastAsia="微软雅黑"/>
          <w:sz w:val="19"/>
        </w:rPr>
        <w:t>损益分解与费用效率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资金结构与批发依赖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规模经济评估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建议行动：</w:t>
      </w:r>
      <w:r>
        <w:rPr>
          <w:rFonts w:ascii="Calibri" w:hAnsi="Calibri" w:eastAsia="微软雅黑"/>
          <w:sz w:val="19"/>
        </w:rPr>
        <w:t>微亏+小规模：评估经营可持续性与费用效率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信用已改善，聚焦盈利与资金</w:t>
      </w:r>
    </w:p>
    <w:p>
      <w:pPr>
        <w:pStyle w:val="ListBullet"/>
        <w:spacing w:after="20"/>
        <w:ind w:left="504"/>
      </w:pPr>
      <w:r>
        <w:rPr>
          <w:rFonts w:ascii="Calibri" w:hAnsi="Calibri" w:eastAsia="微软雅黑"/>
          <w:sz w:val="19"/>
        </w:rPr>
        <w:t>考虑是否存在最优规模/合并的战略问题</w:t>
      </w:r>
    </w:p>
    <w:p>
      <w:pPr>
        <w:spacing w:after="40"/>
        <w:ind w:left="259"/>
      </w:pPr>
      <w:r>
        <w:rPr>
          <w:rFonts w:ascii="Calibri" w:hAnsi="Calibri" w:eastAsia="微软雅黑"/>
          <w:b/>
          <w:color w:val="1F3864"/>
          <w:sz w:val="19"/>
        </w:rPr>
        <w:t>90天监测重点：</w:t>
      </w:r>
      <w:r>
        <w:rPr>
          <w:rFonts w:ascii="Calibri" w:hAnsi="Calibri" w:eastAsia="微软雅黑"/>
          <w:sz w:val="19"/>
        </w:rPr>
        <w:t>季度盈亏、费用效率、非应计、贷款/存款、规模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四、跨机构监测触发器（90天内）</w:t>
      </w:r>
    </w:p>
    <w:p>
      <w:pPr>
        <w:spacing w:after="60"/>
      </w:pPr>
      <w:r>
        <w:rPr>
          <w:rFonts w:ascii="Calibri" w:hAnsi="Calibri" w:eastAsia="微软雅黑"/>
          <w:b w:val="0"/>
          <w:i w:val="0"/>
          <w:sz w:val="21"/>
        </w:rPr>
        <w:t>除逐家复核外，建议对全队列设置统一的量化触发器，一旦命中即上调复核频率或升级至管理层：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信用：单季非应计率上升≥30bp，或分类贷款/贷款上升≥50bp，或90+逾期(P9)出现/放大。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资本：权益/资产跌破8%（或已&lt;8%者继续下降），或总风险资本跌破12%。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盈利：近四季ROA跌破0，或单季ROA&lt;−0.5%（区分一次性，如First Seacoast 2023Q4）。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资金：贷款/存款升破110%，或存款单季下降≥5%。</w:t>
      </w:r>
    </w:p>
    <w:p>
      <w:pPr>
        <w:pStyle w:val="ListBullet"/>
        <w:spacing w:after="40"/>
        <w:ind w:left="360"/>
      </w:pPr>
      <w:r>
        <w:rPr>
          <w:rFonts w:ascii="Calibri" w:hAnsi="Calibri" w:eastAsia="微软雅黑"/>
          <w:sz w:val="20"/>
        </w:rPr>
        <w:t>增长：单季资产增长≥15%（并购或快速扩张，需同步核承保与资本）。</w:t>
      </w:r>
    </w:p>
    <w:p>
      <w:pPr>
        <w:spacing w:after="120"/>
      </w:pPr>
      <w:r>
        <w:rPr>
          <w:rFonts w:ascii="Calibri" w:hAnsi="Calibri" w:eastAsia="微软雅黑"/>
          <w:b w:val="0"/>
          <w:i/>
          <w:color w:val="595959"/>
          <w:sz w:val="21"/>
        </w:rPr>
        <w:t>对第1波五家，建议即使未触发也保持季度复核；对第2/3波，触发即复核。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五、假设与限制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1. </w:t>
      </w:r>
      <w:r>
        <w:rPr>
          <w:rFonts w:ascii="Calibri" w:hAnsi="Calibri" w:eastAsia="微软雅黑"/>
          <w:sz w:val="20"/>
        </w:rPr>
        <w:t>优先队列由规则化评分（模型09表）产生，阈值与权重经分析师设定，为可调管理排序工具，非监管标准或信用评级；调整阈值会改变入选名单。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2. </w:t>
      </w:r>
      <w:r>
        <w:rPr>
          <w:rFonts w:ascii="Calibri" w:hAnsi="Calibri" w:eastAsia="微软雅黑"/>
          <w:sz w:val="20"/>
        </w:rPr>
        <w:t>所有结论基于所给FDIC财务快照的期末口径回顾分析，含2025年内已完成的合并之后状态，非"当时可得信息"回测。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3. </w:t>
      </w:r>
      <w:r>
        <w:rPr>
          <w:rFonts w:ascii="Calibri" w:hAnsi="Calibri" w:eastAsia="微软雅黑"/>
          <w:sz w:val="20"/>
        </w:rPr>
        <w:t>快照无逐笔贷款分类明细、无证券/表外项目、无完整损益分解；卡片中"资料请求"正是为补齐这些快照缺口而列，需管理层从机构处获取后方能定性。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4. </w:t>
      </w:r>
      <w:r>
        <w:rPr>
          <w:rFonts w:ascii="Calibri" w:hAnsi="Calibri" w:eastAsia="微软雅黑"/>
          <w:sz w:val="20"/>
        </w:rPr>
        <w:t>对若干机构的关键判断依赖尚待验证的假设：如First Seacoast 2023Q4巨亏是否一次性、Bangor 2025Q2非应计跳升是否一次性重分类、Franklin ME扩张期承保是否松动——本简报将其列为"需管理层回答的问题"，不作因果定论。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5. </w:t>
      </w:r>
      <w:r>
        <w:rPr>
          <w:rFonts w:ascii="Calibri" w:hAnsi="Calibri" w:eastAsia="微软雅黑"/>
          <w:sz w:val="20"/>
        </w:rPr>
        <w:t>同名机构风险：缅因Franklin Savings Bank(19836)与新罕布什尔Franklin Savings Bank(17951)为不同机构，跟进时须以CERT区分。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6. </w:t>
      </w:r>
      <w:r>
        <w:rPr>
          <w:rFonts w:ascii="Calibri" w:hAnsi="Calibri" w:eastAsia="微软雅黑"/>
          <w:sz w:val="20"/>
        </w:rPr>
        <w:t>总风险资本比率仅覆盖RWAJT&gt;0的报告子集；标注"n/exempt"者为豁免报告机构（多为互助/储蓄制），其资本充足性以权益/资产替代佐证。</w:t>
      </w:r>
    </w:p>
    <w:p>
      <w:pPr>
        <w:spacing w:after="60"/>
        <w:ind w:left="432" w:hanging="288"/>
      </w:pPr>
      <w:r>
        <w:rPr>
          <w:rFonts w:ascii="Calibri" w:hAnsi="Calibri" w:eastAsia="微软雅黑"/>
          <w:b/>
          <w:sz w:val="20"/>
        </w:rPr>
        <w:t xml:space="preserve">7. </w:t>
      </w:r>
      <w:r>
        <w:rPr>
          <w:rFonts w:ascii="Calibri" w:hAnsi="Calibri" w:eastAsia="微软雅黑"/>
          <w:sz w:val="20"/>
        </w:rPr>
        <w:t>样本为三州54家，结论不外推为全国或全州银行业判断。90天安排为管理建议，实际执行受资料可得性与机构配合度影响。</w:t>
      </w:r>
    </w:p>
    <w:p/>
    <w:p>
      <w:pPr>
        <w:spacing w:after="120"/>
      </w:pPr>
      <w:r>
        <w:rPr>
          <w:rFonts w:ascii="Calibri" w:hAnsi="Calibri" w:eastAsia="微软雅黑"/>
          <w:b w:val="0"/>
          <w:i/>
          <w:color w:val="595959"/>
          <w:sz w:val="18"/>
        </w:rPr>
        <w:t>核验路径：每家机构的评分与标志见 regional_bank_risk_model.xlsx 的 09_优先级评分；季度序列见 10_重点机构明细；组合背景与竞争性解释见 operating_performance_diagnosis.docx。本简报的每一处数字均可回溯至上述工作簿。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