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北新英格兰银行组合经营与风险诊断</w:t>
      </w:r>
    </w:p>
    <w:p>
      <w:pPr>
        <w:pStyle w:val="Heading1"/>
      </w:pPr>
      <w:r>
        <w:t>执行摘要</w:t>
      </w:r>
    </w:p>
    <w:p>
      <w:r>
        <w:t>样本包含746条银行季度、54家银行和14个季度；首期51家，末期52家，完整覆盖全期的固定样本49家。银行数量变化需要与表现变化分开解释。</w:t>
      </w:r>
    </w:p>
    <w:p>
      <w:r>
        <w:t>ROA：首期0.807165%，末期0.758130%；持续机构表现贡献-0.186818pp、权重贡献+0.069330pp、起点样本差+0.045956pp、终点样本差+0.022496pp。</w:t>
      </w:r>
    </w:p>
    <w:p>
      <w:r>
        <w:t>nonaccrual_asset：首期0.219794%，末期0.352970%；持续机构表现贡献+0.113514pp、权重贡献+0.024897pp、起点样本差-0.006806pp、终点样本差+0.001571pp。</w:t>
      </w:r>
    </w:p>
    <w:p>
      <w:r>
        <w:t>net_chargeoff：首期0.016249%，末期0.026733%；持续机构表现贡献+0.008986pp、权重贡献+0.001620pp、起点样本差+0.000367pp、终点样本差-0.000488pp。</w:t>
      </w:r>
    </w:p>
    <w:p>
      <w:r>
        <w:t>total_risk_capital：首期15.138625%，末期14.214517%；持续机构表现贡献-1.228299pp、权重贡献+0.165819pp、起点样本差-0.016960pp、终点样本差+0.155332pp。</w:t>
      </w:r>
    </w:p>
    <w:p>
      <w:pPr>
        <w:pStyle w:val="Heading1"/>
      </w:pPr>
      <w:r>
        <w:t>口径纠正与可复核性</w:t>
      </w:r>
    </w:p>
    <w:p>
      <w:r>
        <w:t>原件NCLNLSR不是净核销率。补充官方快照提供NTLNLSA/LNLSGR5，重算与NTLNLSR核对；组合ROA用NETINCA/ASSET5，组合资本比率用RBC/RWAJT。补充与原件746个银行季度键及所有重合字段均一致。</w:t>
      </w:r>
    </w:p>
    <w:p>
      <w:r>
        <w:t>NTLNLS是年内累计金额，不能跨季度相加；NTLNLSA为官方年化值。Q3官方数值与精确4/3理论换算可有近似因子差异，工作簿保留差值，不覆盖官方值。净收回可为负。ROA和NIMY本身是年化期间指标，不能当单季实际收益相加。</w:t>
      </w:r>
    </w:p>
    <w:p>
      <w:r>
        <w:t>总风险资本指标有227个银行季度分母为0，净核销指标有13个。报告的组合指标仅覆盖当期可计算子样本，不代表全部银行；0/0不当作真实0%指标，不用其认定资本不足。适用制度原因仍需核验。</w:t>
      </w:r>
    </w:p>
    <w:p>
      <w:pPr>
        <w:pStyle w:val="Heading1"/>
      </w:pPr>
      <w:r>
        <w:t>组合变化与竞争解释</w:t>
      </w:r>
    </w:p>
    <w:p>
      <w:r>
        <w:t>工作簿将动态组合变化拆成持续机构表现、分母权重变化以及起点/终点样本差，残差逐项为计算精度内零。固定全期样本仅为对照，不代表机构退出没有业务原因。</w:t>
      </w:r>
    </w:p>
    <w:p>
      <w:r>
        <w:t>同一比率变化既可由分子变化也可由分母变化造成；问题资产出售、治愈、核销和贷款结构变化可能有不同含义。现有公开数据支持算术分解，无法识别每项具体因果。没有使用2026机构ACTIVE状态删除2022—2025历史记录。</w:t>
      </w:r>
    </w:p>
    <w:p>
      <w:pPr>
        <w:pStyle w:val="Heading1"/>
      </w:pPr>
      <w:r>
        <w:t>盈利、资本、信用与资金的联合判断</w:t>
      </w:r>
    </w:p>
    <w:p>
      <w:r>
        <w:t>选择9家进入跟进范围：非应计资产率同比变化前5、当前ROA最低3与当前资本比率最低3的并集。所有选择是样本内相对信号，既非监管评级，也不表示达到了法定不合格门槛。</w:t>
      </w:r>
    </w:p>
    <w:p>
      <w:r>
        <w:t>逐家表同时列净核销率、资本、盈利、权益承受力、贷款/存款与房地产贷款结构。相对风险信号不能替代信用档案、存款集中度与期限结构核验。LNRE是广义房地产，不能据此直接宣称商业地产集中度。</w:t>
      </w:r>
    </w:p>
    <w:p>
      <w:pPr>
        <w:pStyle w:val="Heading1"/>
      </w:pPr>
      <w:r>
        <w:t>持续落后与同业对照</w:t>
      </w:r>
    </w:p>
    <w:p>
      <w:r>
        <w:t>定义持续盈利落后为完整覆盖4个6月同季、且每期ROA严格低于当期动态样本银行ROA中位数；识别10家：17743 SACO &amp; BIDDEFORD SAVINGS INSTITUTION；18031 WOODSVILLE GUARANTY SAVINGS BANK；27824 SALEM CO-OPERATIVE BANK；28155 PROFILE BANK；28288 AUBURN SAVINGS BANK, FSB；28369 ROCKLAND SAVINGS BANK, FSB；29636 FIRST FEDERAL SAVINGS AND LOAN ASSOCIATION OF BATH；29744 FIRST SEACOAST BANK；30878 BAR HARBOR SAVINGS AND LOAN ASSOCIATION；59176 THE MILLYARD BANK。本定义是样本相对筛查，不代表亏损或监管评级。缺期不当作落后或改善，使用同季避免年内累计指标的季节口径错配。</w:t>
      </w:r>
    </w:p>
    <w:p>
      <w:r>
        <w:t>当前同业分别按历史财务州及期末资产规模分组；规模分界为本样本资产中位数862811千美元，中位数相等归较小组。组内中位数包含本机构，工作簿逐指标披露可计算银行数及偏离值。单一州或规模不能控制所有商业模式差异，不将其当作因果基准。</w:t>
      </w:r>
    </w:p>
    <w:p>
      <w:pPr>
        <w:pStyle w:val="Heading1"/>
      </w:pPr>
      <w:r>
        <w:t>资源方案与建议</w:t>
      </w:r>
    </w:p>
    <w:p>
      <w:r>
        <w:t>方案A平均分配复核资源覆盖全部末期银行，覆盖广但难以立即解释最重要变化；方案B先覆盖多类相对风险信号并集，再以下一季度材料复核其余样本。建议采用方案B，保留同州和同规模相对比较，不把某个排行榜直接变成退出决定。</w:t>
      </w:r>
    </w:p>
    <w:p>
      <w:r>
        <w:t>0–30天分析岗完成数据桥接并收取资料；31–60天由独立信用复核岗审阅贷款迁徙、地产细分及融资信息；61–90天管理层依据结果决定限额、集中度与监测安排。没有收据/底稿支持时事项保持未完成。</w:t>
      </w:r>
    </w:p>
    <w:p>
      <w:pPr>
        <w:pStyle w:val="Heading1"/>
      </w:pPr>
      <w:r>
        <w:t>参考手册的用途与限制</w:t>
      </w:r>
    </w:p>
    <w:p>
      <w:r>
        <w:t>FDIC RMS Loans第3.2-3至3.2-4页（PDF3–4）强调书面贷款政策、贷款审查和独立复核，并明确不提出通用贷款比率标准；因此本报告不把自设阈值冒充监管界限。</w:t>
      </w:r>
    </w:p>
    <w:p>
      <w:r>
        <w:t>OCC Rating Credit Risk正文第1页（PDF3）说明风险评级应符合机构业务复杂度，没有一种系统适合所有银行。本题应用为复核问题设计，不能只凭公开比率给真实银行下监管分类结论。</w:t>
      </w:r>
    </w:p>
    <w:p>
      <w:r>
        <w:t>FDIC贷款手册为2026版本，机构表亦晚于2025期末；本题是以随附材料进行回顾分析，不是还原当时可得信息回测。结论不外推全国，不宣称90天计划实际执行。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