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管理层90天优先跟进简报</w:t>
      </w:r>
    </w:p>
    <w:p>
      <w:pPr>
        <w:pStyle w:val="Heading1"/>
      </w:pPr>
      <w:r>
        <w:t>范围和决策</w:t>
      </w:r>
    </w:p>
    <w:p>
      <w:r>
        <w:t>建议对9家启动优先资料核验；理由来自同一版本模型，按非应计资产率同比变动顺序列示。可根据资料可得性调整先后，不预设监管结论。</w:t>
      </w:r>
    </w:p>
    <w:p>
      <w:pPr>
        <w:pStyle w:val="Heading1"/>
      </w:pPr>
      <w:r>
        <w:t>逐家问题、资料和行动</w:t>
      </w:r>
    </w:p>
    <w:p>
      <w:r>
        <w:t>WALDEN MUTUAL BANK（CERT 59289）：非应计资产率同比变化前5。非应计资产率1.9419%、同比+1.6341pp；ROA-0.2400%、同比+0.8904pp；净核销率-0.2027%、同比-0.2027pp；总资本比率不可计算/不适用待核验%、同比不可计算/不适用待核验pp。</w:t>
      </w:r>
    </w:p>
    <w:p>
      <w:r>
        <w:t>非应计资产金额326→2835千美元，总资产105919→145991千美元；房地产贷款占比36.1757%，净贷款/存款81.7196%，权益/资产10.7527%。</w:t>
      </w:r>
    </w:p>
    <w:p>
      <w:r>
        <w:t>资产同比+37.8327%、存款+49.8381%、总贷款+106.7392%；NIMY 4.0626%→3.9922%。州组NH共18家，ROA中位数0.3291%；期末资产规模组不高于样本中位数共26家，ROA中位数0.3364%</w:t>
      </w:r>
    </w:p>
    <w:p>
      <w:r>
        <w:t>未满足完整四个同季ROA均低于当期样本中位数的持续落后定义。</w:t>
      </w:r>
    </w:p>
    <w:p>
      <w:r>
        <w:t>竞争解释：非应计资产金额增加支持问题资产扩张解释，不能把比率上升全部解释为资产分母缩小；新增违约、迁徙或收购的区分仍需明细。</w:t>
      </w:r>
    </w:p>
    <w:p>
      <w:r>
        <w:t>问题与请求：优先解释非应计率变动：将上述非应计金额与资产变化桥接到新增、治愈和处置。配套资料：按季度的问题贷款迁徙/新增/治愈/出售核销桥接，净利润和融资成本明细，地产细分与到期集中度，存款期限和客户集中度，资本及RWA变动桥接；区分公开已知值与待解释原因。</w:t>
      </w:r>
    </w:p>
    <w:p>
      <w:r>
        <w:t>建议行动：0–30天核对数据与变化桥接；31–60天独立贷款复核及管理层解释；61–90天按证据决定授信限额、集中度或监测频次调整，不预设停贷。后续监测：下个可得季度复核NAASSET/ASSET、NTLNLSR、ROA及RBCRWAJ，并核对金额与分母；问题迁徙与实际资金来源决定升级复核。</w:t>
      </w:r>
    </w:p>
    <w:p>
      <w:r>
        <w:t>UNION BANK（CERT 14158）：非应计资产率同比变化前5；当前总资本比率最低3。非应计资产率1.0267%、同比+0.9000pp；ROA0.7049%、同比+0.0169pp；净核销率-0.0010%、同比+0.0011pp；总资本比率12.6234%、同比-0.5102pp。</w:t>
      </w:r>
    </w:p>
    <w:p>
      <w:r>
        <w:t>非应计资产金额1771→15189千美元，总资产1397831→1479452千美元；房地产贷款占比92.5852%，净贷款/存款99.8275%，权益/资产5.8482%。</w:t>
      </w:r>
    </w:p>
    <w:p>
      <w:r>
        <w:t>资产同比+5.8391%、存款+4.7740%、总贷款+9.8379%；NIMY 2.8402%→2.9987%。州组VT共12家，ROA中位数0.6618%；期末资产规模组高于样本中位数共26家，ROA中位数0.7162%</w:t>
      </w:r>
    </w:p>
    <w:p>
      <w:r>
        <w:t>未满足完整四个同季ROA均低于当期样本中位数的持续落后定义。</w:t>
      </w:r>
    </w:p>
    <w:p>
      <w:r>
        <w:t>竞争解释：非应计资产金额增加支持问题资产扩张解释，不能把比率上升全部解释为资产分母缩小；新增违约、迁徙或收购的区分仍需明细。</w:t>
      </w:r>
    </w:p>
    <w:p>
      <w:r>
        <w:t>问题与请求：优先解释非应计率变动：将上述非应计金额与资产变化桥接到新增、治愈和处置；优先解释相对低资本率：核对RBC与RWA变动及报告制度适用性，不预设违规。配套资料：按季度的问题贷款迁徙/新增/治愈/出售核销桥接，净利润和融资成本明细，地产细分与到期集中度，存款期限和客户集中度，资本及RWA变动桥接；区分公开已知值与待解释原因。</w:t>
      </w:r>
    </w:p>
    <w:p>
      <w:r>
        <w:t>建议行动：0–30天核对数据与变化桥接；31–60天独立贷款复核及管理层解释；61–90天按证据决定授信限额、集中度或监测频次调整，不预设停贷。后续监测：下个可得季度复核NAASSET/ASSET、NTLNLSR、ROA及RBCRWAJ，并核对金额与分母；问题迁徙与实际资金来源决定升级复核。</w:t>
      </w:r>
    </w:p>
    <w:p>
      <w:r>
        <w:t>BANGOR SAVINGS BANK（CERT 18408）：非应计资产率同比变化前5；当前总资本比率最低3。非应计资产率0.4571%、同比+0.4013pp；ROA0.1063%、同比+0.0558pp；净核销率0.0183%、同比+0.0386pp；总资本比率11.1489%、同比-0.2468pp。</w:t>
      </w:r>
    </w:p>
    <w:p>
      <w:r>
        <w:t>非应计资产金额4032→33535千美元，总资产7222033→7335916千美元；房地产贷款占比90.0516%，净贷款/存款85.0730%，权益/资产6.3747%。</w:t>
      </w:r>
    </w:p>
    <w:p>
      <w:r>
        <w:t>资产同比+1.5769%、存款+10.5042%、总贷款+3.7499%；NIMY 2.0621%→2.4185%。州组ME共22家，ROA中位数0.7625%；期末资产规模组高于样本中位数共26家，ROA中位数0.7162%</w:t>
      </w:r>
    </w:p>
    <w:p>
      <w:r>
        <w:t>未满足完整四个同季ROA均低于当期样本中位数的持续落后定义。</w:t>
      </w:r>
    </w:p>
    <w:p>
      <w:r>
        <w:t>竞争解释：非应计资产金额增加支持问题资产扩张解释，不能把比率上升全部解释为资产分母缩小；新增违约、迁徙或收购的区分仍需明细。</w:t>
      </w:r>
    </w:p>
    <w:p>
      <w:r>
        <w:t>问题与请求：优先解释非应计率变动：将上述非应计金额与资产变化桥接到新增、治愈和处置；优先解释相对低资本率：核对RBC与RWA变动及报告制度适用性，不预设违规。配套资料：按季度的问题贷款迁徙/新增/治愈/出售核销桥接，净利润和融资成本明细，地产细分与到期集中度，存款期限和客户集中度，资本及RWA变动桥接；区分公开已知值与待解释原因。</w:t>
      </w:r>
    </w:p>
    <w:p>
      <w:r>
        <w:t>建议行动：0–30天核对数据与变化桥接；31–60天独立贷款复核及管理层解释；61–90天按证据决定授信限额、集中度或监测频次调整，不预设停贷。后续监测：下个可得季度复核NAASSET/ASSET、NTLNLSR、ROA及RBCRWAJ，并核对金额与分母；问题迁徙与实际资金来源决定升级复核。</w:t>
      </w:r>
    </w:p>
    <w:p>
      <w:r>
        <w:t>FRANKLIN SAVINGS BANK（CERT 19836）：非应计资产率同比变化前5。非应计资产率1.0966%、同比+0.3593pp；ROA0.8395%、同比+0.1803pp；净核销率0.0098%、同比+0.0066pp；总资本比率23.0549%、同比-1.6999pp。</w:t>
      </w:r>
    </w:p>
    <w:p>
      <w:r>
        <w:t>非应计资产金额5114→8281千美元，总资产693631→755186千美元；房地产贷款占比91.3450%，净贷款/存款108.6961%，权益/资产17.2759%。</w:t>
      </w:r>
    </w:p>
    <w:p>
      <w:r>
        <w:t>资产同比+8.8743%、存款+18.7874%、总贷款+10.3131%；NIMY 3.5710%→3.9646%。州组ME共22家，ROA中位数0.7625%；期末资产规模组不高于样本中位数共26家，ROA中位数0.3364%</w:t>
      </w:r>
    </w:p>
    <w:p>
      <w:r>
        <w:t>未满足完整四个同季ROA均低于当期样本中位数的持续落后定义。</w:t>
      </w:r>
    </w:p>
    <w:p>
      <w:r>
        <w:t>竞争解释：非应计资产金额增加支持问题资产扩张解释，不能把比率上升全部解释为资产分母缩小；新增违约、迁徙或收购的区分仍需明细。</w:t>
      </w:r>
    </w:p>
    <w:p>
      <w:r>
        <w:t>问题与请求：优先解释非应计率变动：将上述非应计金额与资产变化桥接到新增、治愈和处置。配套资料：按季度的问题贷款迁徙/新增/治愈/出售核销桥接，净利润和融资成本明细，地产细分与到期集中度，存款期限和客户集中度，资本及RWA变动桥接；区分公开已知值与待解释原因。</w:t>
      </w:r>
    </w:p>
    <w:p>
      <w:r>
        <w:t>建议行动：0–30天核对数据与变化桥接；31–60天独立贷款复核及管理层解释；61–90天按证据决定授信限额、集中度或监测频次调整，不预设停贷。后续监测：下个可得季度复核NAASSET/ASSET、NTLNLSR、ROA及RBCRWAJ，并核对金额与分母；问题迁徙与实际资金来源决定升级复核。</w:t>
      </w:r>
    </w:p>
    <w:p>
      <w:r>
        <w:t>NORTHFIELD SAVINGS BANK（CERT 14140）：非应计资产率同比变化前5。非应计资产率0.4764%、同比+0.3399pp；ROA0.3192%、同比+0.0275pp；净核销率0.0051%、同比-0.0023pp；总资本比率不可计算/不适用待核验%、同比不可计算/不适用待核验pp。</w:t>
      </w:r>
    </w:p>
    <w:p>
      <w:r>
        <w:t>非应计资产金额2046→7436千美元，总资产1498757→1560737千美元；房地产贷款占比88.4032%，净贷款/存款85.5787%，权益/资产9.1424%。</w:t>
      </w:r>
    </w:p>
    <w:p>
      <w:r>
        <w:t>资产同比+4.1354%、存款+6.8529%、总贷款+2.6627%；NIMY 2.3745%→2.5805%。州组VT共12家，ROA中位数0.6618%；期末资产规模组高于样本中位数共26家，ROA中位数0.7162%</w:t>
      </w:r>
    </w:p>
    <w:p>
      <w:r>
        <w:t>未满足完整四个同季ROA均低于当期样本中位数的持续落后定义。</w:t>
      </w:r>
    </w:p>
    <w:p>
      <w:r>
        <w:t>竞争解释：非应计资产金额增加支持问题资产扩张解释，不能把比率上升全部解释为资产分母缩小；新增违约、迁徙或收购的区分仍需明细。</w:t>
      </w:r>
    </w:p>
    <w:p>
      <w:r>
        <w:t>问题与请求：优先解释非应计率变动：将上述非应计金额与资产变化桥接到新增、治愈和处置。配套资料：按季度的问题贷款迁徙/新增/治愈/出售核销桥接，净利润和融资成本明细，地产细分与到期集中度，存款期限和客户集中度，资本及RWA变动桥接；区分公开已知值与待解释原因。</w:t>
      </w:r>
    </w:p>
    <w:p>
      <w:r>
        <w:t>建议行动：0–30天核对数据与变化桥接；31–60天独立贷款复核及管理层解释；61–90天按证据决定授信限额、集中度或监测频次调整，不预设停贷。后续监测：下个可得季度复核NAASSET/ASSET、NTLNLSR、ROA及RBCRWAJ，并核对金额与分母；问题迁徙与实际资金来源决定升级复核。</w:t>
      </w:r>
    </w:p>
    <w:p>
      <w:r>
        <w:t>SALEM CO-OPERATIVE BANK（CERT 27824）：当前ROA最低3。非应计资产率0.3576%、同比+0.1643pp；ROA-0.3059%、同比+0.0681pp；净核销率0.0177%、同比-0.0341pp；总资本比率18.9590%、同比-1.3988pp。</w:t>
      </w:r>
    </w:p>
    <w:p>
      <w:r>
        <w:t>非应计资产金额1077→2044千美元，总资产557168→571650千美元；房地产贷款占比89.3800%，净贷款/存款120.6787%，权益/资产10.8696%。</w:t>
      </w:r>
    </w:p>
    <w:p>
      <w:r>
        <w:t>资产同比+2.5992%、存款+6.9437%、总贷款+2.3613%；NIMY 1.6244%→1.9151%。州组NH共18家，ROA中位数0.3291%；期末资产规模组不高于样本中位数共26家，ROA中位数0.3364%</w:t>
      </w:r>
    </w:p>
    <w:p>
      <w:r>
        <w:t>全部四个同季ROA低于当期样本中位数，属于本定义的持续落后。</w:t>
      </w:r>
    </w:p>
    <w:p>
      <w:r>
        <w:t>竞争解释：非应计资产金额增加支持问题资产扩张解释，不能把比率上升全部解释为资产分母缩小；新增违约、迁徙或收购的区分仍需明细。</w:t>
      </w:r>
    </w:p>
    <w:p>
      <w:r>
        <w:t>问题与请求：优先解释相对低ROA：以NIMY走势为对照，索取拨备、费用及非经常损益桥接。配套资料：按季度的问题贷款迁徙/新增/治愈/出售核销桥接，净利润和融资成本明细，地产细分与到期集中度，存款期限和客户集中度，资本及RWA变动桥接；区分公开已知值与待解释原因。</w:t>
      </w:r>
    </w:p>
    <w:p>
      <w:r>
        <w:t>建议行动：0–30天核对数据与变化桥接；31–60天独立贷款复核及管理层解释；61–90天按证据决定授信限额、集中度或监测频次调整，不预设停贷。后续监测：下个可得季度复核NAASSET/ASSET、NTLNLSR、ROA及RBCRWAJ，并核对金额与分母；问题迁徙与实际资金来源决定升级复核。</w:t>
      </w:r>
    </w:p>
    <w:p>
      <w:r>
        <w:t>THE BRATTLEBORO SAVINGS AND LOAN ASSOCIATION（CERT 28837）：当前ROA最低3。非应计资产率0.0906%、同比+0.0363pp；ROA-0.3264%、同比-1.0425pp；净核销率-0.0019%、同比-0.0019pp；总资本比率17.9895%、同比+1.2500pp。</w:t>
      </w:r>
    </w:p>
    <w:p>
      <w:r>
        <w:t>非应计资产金额155→253千美元，总资产285118→279103千美元；房地产贷款占比95.7001%，净贷款/存款83.2689%，权益/资产10.1378%。</w:t>
      </w:r>
    </w:p>
    <w:p>
      <w:r>
        <w:t>资产同比-2.1097%、存款-2.4776%、总贷款+3.2693%；NIMY 3.6810%→4.0086%。州组VT共12家，ROA中位数0.6618%；期末资产规模组不高于样本中位数共26家，ROA中位数0.3364%</w:t>
      </w:r>
    </w:p>
    <w:p>
      <w:r>
        <w:t>未满足完整四个同季ROA均低于当期样本中位数的持续落后定义。</w:t>
      </w:r>
    </w:p>
    <w:p>
      <w:r>
        <w:t>竞争解释：非应计资产金额增加支持问题资产扩张解释，不能把比率上升全部解释为资产分母缩小；新增违约、迁徙或收购的区分仍需明细。ROA下降而NIMY未下降，不支持单凭息差收窄解释全部盈利压力；优先请求拨备、费用和一次性损益桥接。</w:t>
      </w:r>
    </w:p>
    <w:p>
      <w:r>
        <w:t>问题与请求：优先解释相对低ROA：以NIMY走势为对照，索取拨备、费用及非经常损益桥接。配套资料：按季度的问题贷款迁徙/新增/治愈/出售核销桥接，净利润和融资成本明细，地产细分与到期集中度，存款期限和客户集中度，资本及RWA变动桥接；区分公开已知值与待解释原因。</w:t>
      </w:r>
    </w:p>
    <w:p>
      <w:r>
        <w:t>建议行动：0–30天核对数据与变化桥接；31–60天独立贷款复核及管理层解释；61–90天按证据决定授信限额、集中度或监测频次调整，不预设停贷。后续监测：下个可得季度复核NAASSET/ASSET、NTLNLSR、ROA及RBCRWAJ，并核对金额与分母；问题迁徙与实际资金来源决定升级复核。</w:t>
      </w:r>
    </w:p>
    <w:p>
      <w:r>
        <w:t>LEDYARD NATIONAL BANK（CERT 33418）：当前总资本比率最低3。非应计资产率0.1199%、同比+0.0136pp；ROA0.6188%、同比+0.2441pp；净核销率-0.0010%、同比+0.0008pp；总资本比率12.4261%、同比-1.9715pp。</w:t>
      </w:r>
    </w:p>
    <w:p>
      <w:r>
        <w:t>非应计资产金额964→1191千美元，总资产907185→993609千美元；房地产贷款占比83.8967%，净贷款/存款76.4430%，权益/资产7.0395%。</w:t>
      </w:r>
    </w:p>
    <w:p>
      <w:r>
        <w:t>资产同比+9.5266%、存款+2.4943%、总贷款+26.8661%；NIMY 2.2137%→2.5850%。州组VT共12家，ROA中位数0.6618%；期末资产规模组高于样本中位数共26家，ROA中位数0.7162%</w:t>
      </w:r>
    </w:p>
    <w:p>
      <w:r>
        <w:t>未满足完整四个同季ROA均低于当期样本中位数的持续落后定义。</w:t>
      </w:r>
    </w:p>
    <w:p>
      <w:r>
        <w:t>竞争解释：非应计资产金额增加支持问题资产扩张解释，不能把比率上升全部解释为资产分母缩小；新增违约、迁徙或收购的区分仍需明细。</w:t>
      </w:r>
    </w:p>
    <w:p>
      <w:r>
        <w:t>问题与请求：优先解释相对低资本率：核对RBC与RWA变动及报告制度适用性，不预设违规。配套资料：按季度的问题贷款迁徙/新增/治愈/出售核销桥接，净利润和融资成本明细，地产细分与到期集中度，存款期限和客户集中度，资本及RWA变动桥接；区分公开已知值与待解释原因。</w:t>
      </w:r>
    </w:p>
    <w:p>
      <w:r>
        <w:t>建议行动：0–30天核对数据与变化桥接；31–60天独立贷款复核及管理层解释；61–90天按证据决定授信限额、集中度或监测频次调整，不预设停贷。后续监测：下个可得季度复核NAASSET/ASSET、NTLNLSR、ROA及RBCRWAJ，并核对金额与分母；问题迁徙与实际资金来源决定升级复核。</w:t>
      </w:r>
    </w:p>
    <w:p>
      <w:r>
        <w:t>FIRST SEACOAST BANK（CERT 29744）：当前ROA最低3。非应计资产率0.0023%、同比-0.0211pp；ROA-0.3855%、同比-0.6821pp；净核销率-0.0005%、同比+0.0000pp；总资本比率15.2306%、同比-0.2968pp。</w:t>
      </w:r>
    </w:p>
    <w:p>
      <w:r>
        <w:t>非应计资产金额141→14千美元，总资产602018→605109千美元；房地产贷款占比91.4320%，净贷款/存款89.0399%，权益/资产7.3630%。</w:t>
      </w:r>
    </w:p>
    <w:p>
      <w:r>
        <w:t>资产同比+0.5134%、存款+3.9610%、总贷款+1.1146%；NIMY 2.1079%→2.3256%。州组NH共18家，ROA中位数0.3291%；期末资产规模组不高于样本中位数共26家，ROA中位数0.3364%</w:t>
      </w:r>
    </w:p>
    <w:p>
      <w:r>
        <w:t>全部四个同季ROA低于当期样本中位数，属于本定义的持续落后。</w:t>
      </w:r>
    </w:p>
    <w:p>
      <w:r>
        <w:t>竞争解释：非应计资产率未同比恶化，入选理由来自盈利或资本相对位置，不能把它写成信用质量必然恶化。ROA下降而NIMY未下降，不支持单凭息差收窄解释全部盈利压力；优先请求拨备、费用和一次性损益桥接。</w:t>
      </w:r>
    </w:p>
    <w:p>
      <w:r>
        <w:t>问题与请求：优先解释相对低ROA：以NIMY走势为对照，索取拨备、费用及非经常损益桥接。配套资料：按季度的问题贷款迁徙/新增/治愈/出售核销桥接，净利润和融资成本明细，地产细分与到期集中度，存款期限和客户集中度，资本及RWA变动桥接；区分公开已知值与待解释原因。</w:t>
      </w:r>
    </w:p>
    <w:p>
      <w:r>
        <w:t>建议行动：0–30天核对数据与变化桥接；31–60天独立贷款复核及管理层解释；61–90天按证据决定授信限额、集中度或监测频次调整，不预设停贷。后续监测：下个可得季度复核NAASSET/ASSET、NTLNLSR、ROA及RBCRWAJ，并核对金额与分母；问题迁徙与实际资金来源决定升级复核。</w:t>
      </w:r>
    </w:p>
    <w:p>
      <w:pPr>
        <w:pStyle w:val="Heading1"/>
      </w:pPr>
      <w:r>
        <w:t>组合层监测与关闭</w:t>
      </w:r>
    </w:p>
    <w:p>
      <w:r>
        <w:t>每项关闭需原始桥接、同一CERT期间及独立复核确认；若观察值得到另一合理解释，应更新建议。对没有材料的原因保持待核实，不编造管理层答复。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