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忠诚派升级路线审查与待执行验证计划（参考修订候选）</w:t>
      </w:r>
    </w:p>
    <w:p>
      <w:pPr>
        <w:pStyle w:val="Heading1"/>
      </w:pPr>
      <w:r>
        <w:t>审查结论与版本</w:t>
      </w:r>
    </w:p>
    <w:p>
      <w:r>
        <w:t>此稿为作者参考答案的待审修订，不是新的真实输入，不是已执行游戏实验或Gold评分。基础配置表继承当前冻结答案，补充测试实例和决策逻辑；原始输入和当前盲解题包未修改。</w:t>
      </w:r>
    </w:p>
    <w:p>
      <w:r>
        <w:t>从8个招募起点得到34个常规可达单位、26条升级边及34条含起点路径。完整单位、路径、攻击、继承、宏及源码位置保留于工作簿。此静态结构不证明平衡性。</w:t>
      </w:r>
    </w:p>
    <w:p>
      <w:r>
        <w:t>配置cost不是每次升级的额外支付；基础XP之和不是升级用时；抗性数值是承伤百分比；负防御配置不是负概率。所有测试结果待执行，本文不填胜率或运行日志。</w:t>
      </w:r>
    </w:p>
    <w:p>
      <w:pPr>
        <w:pStyle w:val="Heading1"/>
      </w:pPr>
      <w:r>
        <w:t>资源顺序与共用复现约定</w:t>
      </w:r>
    </w:p>
    <w:p>
      <w:r>
        <w:t>P1先处理冲锋对双方伤害的条件倍率：忽略反击代价可能直接反转短线选择，12个场景规模也适合先检查记录流程。P2复用已验证的流程，比较伤害类型、攻击距离和满血/等当前HP的敏感性。P3不直接投入昂贵团队对局，先做低成本治疗和传送机制检查，可与P1/P2并行；若机制核验失败，先排除工具/规则问题再做任何外推。</w:t>
      </w:r>
    </w:p>
    <w:p>
      <w:r>
        <w:t>拟定1.18.0无插件测试，8列×5行地图默认Gg。所有实例各自新建存档，不沿用上一局HP、XP或随机状态。战斗侧1在(3,3)进攻侧2在(4,3)，二格同取矩阵地形，其余格保持Gg；无其他单位、特质、领导、治疗、状态或升级；不跨回合，因此村庄回血不混入战斗。双方默认配置等级与最大HP，当前HP按实例。</w:t>
      </w:r>
    </w:p>
    <w:p>
      <w:r>
        <w:t>地形标识依据原件terrain.cfg：Gg第174–183行；^Fp第721–731行；^Vh第1891–1902行。这里提出Gg^Fp和Gg^Vh测试组合，实际复合防御/移动值应由1.18.0引擎核验，不从两个面板线性平均推算。</w:t>
      </w:r>
    </w:p>
    <w:p>
      <w:r>
        <w:t>战斗实例拟用种子1至200，各自从相同初态重置并保存种子、初始存档、武器、双方HP/XP/状态、时段和每击记录。相同种子用于可比场景，但不同攻击次数会消耗不同随机序列，不能称为每击一一配对；总体差异应报告不确定性。确定性机制检查不强制200次。</w:t>
      </w:r>
    </w:p>
    <w:p>
      <w:r>
        <w:t>中立时段明确设lawful_bonus=0；法师时段实验分别拟定+25/-25。种子和时段为作者控制参数，不是已观察结果。完整矩阵中的武器name须与原配置一致，任何工具不支持或自动改选的情况记录为执行限制，不能默默当指定武器已执行。</w:t>
      </w:r>
    </w:p>
    <w:p>
      <w:pPr>
        <w:pStyle w:val="Heading1"/>
      </w:pPr>
      <w:r>
        <w:t>P1：Horseman的冲锋分支</w:t>
      </w:r>
    </w:p>
    <w:p>
      <w:r>
        <w:t>Lancer为50HP、10移动、12×3穿刺冲锋且常规升级终止；Knight为58HP、8移动、14×2冲锋及8×4普通剑，可再升级；共同从Horseman基础54XP到达。来源为humans/Horse_Lancer.cfg、Horse_Knight.cfg及Horseman节点。</w:t>
      </w:r>
    </w:p>
    <w:p>
      <w:r>
        <w:t>竞争解释：Lancer的速度与三次攻击可能提高短线终结，Knight的HP、普通剑及后续路径可能降低风险。weapon_specials.cfg第134–146行冲锋明确仅进攻生效且对双方伤害乘2，因此普通剑不能也加倍。</w:t>
      </w:r>
    </w:p>
    <w:p>
      <w:r>
        <w:t>工作簿P1-01至P1-12列三种进攻武器×两种对手×两种地形。防守Pikeman用pike，Swordsman用sword。记录进攻/防守双方死亡、剩余HP和逐击伤害，主要比较相同对手/地形下的生存与击杀取舍。</w:t>
      </w:r>
    </w:p>
    <w:p>
      <w:r>
        <w:t>若优势只表现为提高击杀但降低进攻方存活，应限定短线目标而否定无条件更优；若Knight剑保留更多HP则保留武器选择价值。单次相邻战斗不验证移动优势或长期路线价值；移动需另设目标/路径实验，长期代价用完整升级表支撑，不制造胜率证据。</w:t>
      </w:r>
    </w:p>
    <w:p>
      <w:pPr>
        <w:pStyle w:val="Heading1"/>
      </w:pPr>
      <w:r>
        <w:t>P2：Spearman的三分支</w:t>
      </w:r>
    </w:p>
    <w:p>
      <w:r>
        <w:t>Swordsman为55HP、8×4blade，blade/impact承伤80；Pikeman为55HP、10×3pierce先制、pierce承伤60；Javelineer为48HP、8×3近战先制及13×2远程、pierce承伤60且常规升级终止。共同从42基础XP节点分支；承伤60不是仅有60%减伤。</w:t>
      </w:r>
    </w:p>
    <w:p>
      <w:r>
        <w:t>P2-01至P2-32列四个真实进攻武器选择×Knight/Longbowman×Gg/Gg^Vh×满血/等40当前HP。最大HP始终保留单位配置，不能为了等HP篡改配置。Knight无同距离远程反击；Longbowman远程用bow，近战用sword；防守Knight近战统一用普通剑隔离变量。</w:t>
      </w:r>
    </w:p>
    <w:p>
      <w:r>
        <w:t>先在同一HP组内分层比较生存和剩余HP，再检查等40HP是否改变满血组结论。若远程优势仅出现于无反击目标，应推荐该条件，不能称分支总体更强；若优势随对方伤害类型反转，则保留抗性与武器匹配条件。终端升级机会成本另由路径证据解释，不把一次交战等同整个战役。</w:t>
      </w:r>
    </w:p>
    <w:p>
      <w:pPr>
        <w:pStyle w:val="Heading1"/>
      </w:pPr>
      <w:r>
        <w:t>P3：法师团队价值与条件机动</w:t>
      </w:r>
    </w:p>
    <w:p>
      <w:r>
        <w:t>Red Mage为neutral，White Mage为lawful且CURES；Silver Mage具有TELEPORT。竞争解释是高面板伤害可能遗漏治疗、解毒或可用传送路径，也可能高估这些能力的覆盖条件。</w:t>
      </w:r>
    </w:p>
    <w:p>
      <w:r>
        <w:t>P3-H01至H08：White/Red Mage在(3,3)，侧1 Spearman最大36/当前20HP，目标在相邻(4,3)或远处(7,3)，分别无毒/有毒，全图Gg且无其他治疗来源。取同一指定时段，结束侧1回合、经过不行动侧2，观察下一次侧1回合开始后的HP与毒状态；保存前后状态。红法师是无CURES对照，远处是范围对照，不用村庄回血混淆治疗。</w:t>
      </w:r>
    </w:p>
    <w:p>
      <w:r>
        <w:t>abilities.cfg第30–85行规定相邻友方、非自身，CURES包括解毒和+8治疗；被解毒者当回合不额外回血。将解毒与回血分别记录，不能把毒状态消失自动写成同时恢复8HP。完整自疗反例若执行，应另加治疗者自身受伤组，不把现有矩阵谎称覆盖自身。</w:t>
      </w:r>
    </w:p>
    <w:p>
      <w:r>
        <w:t>P3-T01至T06：8×5地图全Gg，在(2,3)与(7,3)各放Gg^Vh；Silver Mage侧1位于源格(2,3)，默认满血、无特质/状态；目标阻挡者为原配置满血Spearman。只有矩阵列出的村庄与单位，侧2其余不行动。分别改变源/目标归属、目标友军/敌军占用和剩余移动。记录目标可达性、是否通过传送、移动消耗及最终坐标；不是测试能否走完整条普通地面路径。</w:t>
      </w:r>
    </w:p>
    <w:p>
      <w:r>
        <w:t>abilities.cfg第248–278行支持己方村庄和目标空格筛选；无移动组是拟定敏感性检查，实际路径/引擎限制未执行前不写成已证实结果。若改变某条件便失去传送路径，应撤回任意瞬移的说法，保留条件机动的价值，不外推全局胜率。</w:t>
      </w:r>
    </w:p>
    <w:p>
      <w:r>
        <w:t>P3-D01至D04在同一Gg地形以红法师fireball、白法师lightbeam分别面对满血Longbowman，时段+25/-25，其他控制一致。分开记录攻击和反击伤害；两种攻击伤害类型不同，不能把二者全部差异归因于阵营时段。治疗/传送矩阵只证明机制条件，团队净收益仍需后续对局样本。</w:t>
      </w:r>
    </w:p>
    <w:p>
      <w:pPr>
        <w:pStyle w:val="Heading1"/>
      </w:pPr>
      <w:r>
        <w:t>下一步与证据边界</w:t>
      </w:r>
    </w:p>
    <w:p>
      <w:r>
        <w:t>先审核矩阵和配置引用，再创建并保存测试初态，核验武器选择、复合地形和事件时点，最后执行对应场景。若工具不能控制指定随机种子或反击，保留差异并修改实验版本，不伪装完全复现。</w:t>
      </w:r>
    </w:p>
    <w:p>
      <w:r>
        <w:t>本次仅生成参考方案，没有运行游戏，没有改动任何真实源文件，没有观测胜率。未执行计划不能批准配置加强或削弱，也不能替代Gold逐项评分和三模型难度校准。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