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2024年采购付款复核与追查交接</w:t>
      </w:r>
    </w:p>
    <w:p>
      <w:r>
        <w:rPr>
          <w:color w:val="666666"/>
        </w:rPr>
        <w:t>给行政采购负责人｜评估截点：2024年12月31日｜基于两份芝加哥公开CSV的新拟工作委托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color w:val="17365D"/>
                <w:sz w:val="20"/>
              </w:rPr>
              <w:t>原始付款行合计</w:t>
              <w:br/>
              <w:t>$10,329,329,093.19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color w:val="17365D"/>
                <w:sz w:val="20"/>
              </w:rPr>
              <w:t>完全相同行附加额</w:t>
              <w:br/>
              <w:t>$505,645,248.20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color w:val="17365D"/>
                <w:sz w:val="20"/>
              </w:rPr>
              <w:t>截点前合同号覆盖的年度级付款</w:t>
              <w:br/>
              <w:t>$5,644,729,930.01</w:t>
            </w:r>
          </w:p>
        </w:tc>
      </w:tr>
    </w:tbl>
    <w:p>
      <w:pPr>
        <w:pStyle w:val="Heading1"/>
      </w:pPr>
      <w:r>
        <w:t>负责人先读</w:t>
      </w:r>
    </w:p>
    <w:p>
      <w:pPr>
        <w:pStyle w:val="ListBullet"/>
      </w:pPr>
      <w:r>
        <w:t>本包覆盖45,381条付款记录（原始行合计$10.329bn）和52,544条合同版本。付款同时含41,335条日级记录与4,046条仅标“2024”的年度级记录；合同批准日期延伸至2026-10-09，因此并非截至2024年末冻结的档案。</w:t>
      </w:r>
    </w:p>
    <w:p>
      <w:pPr>
        <w:pStyle w:val="ListBullet"/>
      </w:pPr>
      <w:r>
        <w:t>不能给出唯一、不重复的年度付款总额。六个源字段完全相同的后续行增加$505.645m；另有四个合同/规范化供应商组合跨日级与年度级出现。仅保留完全相同行首行得到$9.824bn，但这只是敏感性结果，不是审定数。</w:t>
      </w:r>
    </w:p>
    <w:p>
      <w:pPr>
        <w:pStyle w:val="ListBullet"/>
      </w:pPr>
      <w:r>
        <w:t>年度级付款中，$5.645bn的合同号在截点前合同记录出现；$63.200m只在截点后合同记录出现，$38.772m在合同快照完全找不到。即使合同号存在，另有$292.346m的付款供应商未在截点前版本按规范化名称匹配。</w:t>
      </w:r>
    </w:p>
    <w:p>
      <w:pPr>
        <w:pStyle w:val="ListBullet"/>
      </w:pPr>
      <w:r>
        <w:t>不得把高付款比例、零/负净授予额或资料缺失直接定性为违法。award_amount可能是修订增量，付款也可能跨年度、共享合同或属于非合同付款；这些指标仅用于决定先调哪些档案。</w:t>
      </w:r>
    </w:p>
    <w:p>
      <w:pPr>
        <w:pStyle w:val="Heading1"/>
      </w:pPr>
      <w:r>
        <w:t>1. 覆盖、总额与可确认事实</w:t>
      </w:r>
    </w:p>
    <w:p>
      <w:r>
        <w:t>付款原件的check_date只有两种粒度：日级MM/DD/YYYY，或仅“2024”。日级记录有41,276行使用合同号“DV”，且41,324行部门为空；因此日级层不能直接与合同表一一对应，也难以按责任部门解释。年度级记录无voucher_number，主要用于合同层汇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556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2556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2556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可作何结论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原始全部行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45,381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$10,329,329,093.19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源文件总和；不是不重复总额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日级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41,335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$4,582,627,056.36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大多为DV，不能合同归集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年度级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4,046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$5,746,702,036.83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可按公开合同号做覆盖测试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精确相同行仅保留首行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45,049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$9,823,683,844.99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仅敏感性，不代表重复已证实</w:t>
            </w:r>
          </w:p>
        </w:tc>
      </w:tr>
    </w:tbl>
    <w:p>
      <w:r>
        <w:t>可确认的是记录“出现了什么”，而不是底层经济交易只发生几次。最大重复组为凭证PV27232704033：同日、同供应商、同金额$99.0m的完全相同行出现4次，附加额$297.0m；PV27232704025和PV27232704029各贡献$99.0m附加额。三组合计$495.0m，先查它们即可解释全部完全相同行附加额的97.9%。</w:t>
      </w:r>
    </w:p>
    <w:p>
      <w:pPr>
        <w:pStyle w:val="Heading1"/>
      </w:pPr>
      <w:r>
        <w:t>2. 合同对应与截止性</w:t>
      </w:r>
    </w:p>
    <w:p>
      <w:r>
        <w:t>本复核把同一合同号在2024-12-31以前（含当日）的所有award_amount作代数和，称“截点前净授予额”；同时保留每个版本，不用后续版本替代截点事实。该计算可复核，但字段语义仍需合同数据字典和档案确认。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年度级合同证据</w:t>
            </w:r>
          </w:p>
        </w:tc>
        <w:tc>
          <w:tcPr>
            <w:tcW w:type="dxa" w:w="3408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3408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截点前合同号存在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$5,644,729,930.01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合同号覆盖；不等于主体/金额均验证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仅截点后合同号存在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$63,199,971.24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后续记录只能作调档线索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合同快照无记录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$38,772,135.58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无法从本快照说明授权载体</w:t>
            </w:r>
          </w:p>
        </w:tc>
      </w:tr>
    </w:tbl>
    <w:p>
      <w:r>
        <w:t>实际记录说明截止性的重要性：合同69568的2024付款为$33.568m，但合同快照首次批准记录在2025-07-25；合同27905的2024付款为$25.929m，首次记录在2025-04-29。两者占“仅截点后合同”金额的94.1%。这些后续记录不能证明2024年末以前已批准，优先调取当时的签署件、审批流时间戳和PO建立记录。</w:t>
      </w:r>
    </w:p>
    <w:p>
      <w:r>
        <w:t>主体匹配也是独立问题。合同号虽在截点前存在，但176条、$188.259m付款的规范化供应商名称在任何截点前版本都未匹配；另70条、$104.088m只与截点后供应商版本匹配。例如合同170884付款给G &amp; V CONSTRUCTION COMPANY, INC.为$16.110m，需要供应商ID、受让/更名或合资关系证据，而不能只靠名称猜测。</w:t>
      </w:r>
    </w:p>
    <w:p>
      <w:pPr>
        <w:pStyle w:val="Heading1"/>
      </w:pPr>
      <w:r>
        <w:t>3. 追查顺序与关闭逻辑</w:t>
      </w:r>
    </w:p>
    <w:p>
      <w:r>
        <w:rPr>
          <w:b/>
          <w:color w:val="17365D"/>
        </w:rPr>
        <w:t>1｜先锁定总额：重复行　$505,645,248.20</w:t>
      </w:r>
    </w:p>
    <w:p>
      <w:r>
        <w:t>向应付账款数据管理员建议调取凭证/支票登记、撤销重发记录和导出日志。逐组确认应计次数并与总账控制数勾稽后关闭。</w:t>
      </w:r>
    </w:p>
    <w:p>
      <w:r>
        <w:rPr>
          <w:b/>
          <w:color w:val="17365D"/>
        </w:rPr>
        <w:t>2｜再判定粒度关系　$43,992,679.31</w:t>
      </w:r>
    </w:p>
    <w:p>
      <w:r>
        <w:t>四组跨粒度记录涉及年度侧$31.873m和日级侧$12.119m。取得数据生成逻辑及逐笔—汇总桥表；证明互斥或建立包含关系后关闭。</w:t>
      </w:r>
    </w:p>
    <w:p>
      <w:r>
        <w:rPr>
          <w:b/>
          <w:color w:val="17365D"/>
        </w:rPr>
        <w:t>3｜建立DV付款桥接　$4,570,265,105.77</w:t>
      </w:r>
    </w:p>
    <w:p>
      <w:r>
        <w:t>DV覆盖41,276行。建议由应付账款系统平台主管提供到PO/合同/非合同支付类型、部门和总账科目的桥表；否则大部分日级资金去向不能按合同解释。</w:t>
      </w:r>
    </w:p>
    <w:p>
      <w:r>
        <w:rPr>
          <w:b/>
          <w:color w:val="17365D"/>
        </w:rPr>
        <w:t>4｜调取后置及缺失合同　$101,972,106.82</w:t>
      </w:r>
    </w:p>
    <w:p>
      <w:r>
        <w:t>先查仅后置合同69568、27905，再查完全缺失合同32137、183287、33725。关闭条件是取得截点前有效文件并完成编号/主体/金额勾稽，或书面确认不属合同数据范围。</w:t>
      </w:r>
    </w:p>
    <w:p>
      <w:r>
        <w:rPr>
          <w:b/>
          <w:color w:val="17365D"/>
        </w:rPr>
        <w:t>5｜验证主体和金额边界　$292,346,306.88</w:t>
      </w:r>
    </w:p>
    <w:p>
      <w:r>
        <w:t>先解决供应商关系，再检查70个正净授予额但付款超额的合同（超额合计$43.794m）。完整修订、字段定义、跨年付款史和发票进度资料是关闭依据。</w:t>
      </w:r>
    </w:p>
    <w:p>
      <w:r>
        <w:t>以上岗位均为本复核提出的办理建议，并非芝加哥市或任何机构已经指派的人员。完整的10项清单、金额、资料请求、关闭条件和原始定位见工作簿“追查清单”。</w:t>
      </w:r>
    </w:p>
    <w:p>
      <w:pPr>
        <w:pStyle w:val="Heading1"/>
      </w:pPr>
      <w:r>
        <w:t>4. 替代口径是否改变优先级</w:t>
      </w:r>
    </w:p>
    <w:p>
      <w:r>
        <w:t>以“完全相同行只留首行”为共同起点（$9,823,683,844.99），若四个跨粒度组合保留年度侧、扣除日级侧，结果为$9,811,564,623.90；若保留日级侧、扣除年度侧，结果为$9,791,810,386.77。两者相差$19,754,237.13。这些都是合理敏感性口径，但没有源系统桥表时均不能称为唯一总额。</w:t>
      </w:r>
    </w:p>
    <w:p>
      <w:r>
        <w:t>替代口径不会改变前三项追查：完全相同行、跨粒度关系和DV桥接仍决定总额与大部分资金去向。合同档案层的排序也基本稳定：69568与27905仍主导截点后合同缺口；合同完全缺失和供应商关系仍是独立证据问题。变化主要发生在四个F.H. Paschen合同的付款金额排序，因此应在总额规则确定后再评价其付款比例。</w:t>
      </w:r>
    </w:p>
    <w:p>
      <w:pPr>
        <w:pStyle w:val="Heading1"/>
      </w:pPr>
      <w:r>
        <w:t>5. 交接办理步骤</w:t>
      </w:r>
    </w:p>
    <w:p>
      <w:pPr>
        <w:pStyle w:val="ListNumber"/>
      </w:pPr>
      <w:r>
        <w:t>打开“金额核对”，复算公式并记录所采用的总额口径；不要覆盖静态核对值。</w:t>
      </w:r>
    </w:p>
    <w:p>
      <w:pPr>
        <w:pStyle w:val="ListNumber"/>
      </w:pPr>
      <w:r>
        <w:t>在“付款底表”按exact_duplicate_flag、contract_timing_status、vendor_evidence_status筛选；用payment_id和source_row回到CSV。</w:t>
      </w:r>
    </w:p>
    <w:p>
      <w:pPr>
        <w:pStyle w:val="ListNumber"/>
      </w:pPr>
      <w:r>
        <w:t>在“合同版本”按合同号导出全部版本，严格区分cutoff_status；不要只看最新版本。</w:t>
      </w:r>
    </w:p>
    <w:p>
      <w:pPr>
        <w:pStyle w:val="ListNumber"/>
      </w:pPr>
      <w:r>
        <w:t>按“追查清单”顺序发起资料请求；在closure_condition满足前，状态保持未关闭。</w:t>
      </w:r>
    </w:p>
    <w:p>
      <w:pPr>
        <w:pStyle w:val="ListNumber"/>
      </w:pPr>
      <w:r>
        <w:t>收到档案后更新证据结论而不是删除原始例外；任何去重均保留规则、唯一键和控制数勾稽。</w:t>
      </w:r>
    </w:p>
    <w:p>
      <w:pPr>
        <w:pStyle w:val="Heading1"/>
      </w:pPr>
      <w:r>
        <w:t>限制声明</w:t>
      </w:r>
    </w:p>
    <w:p>
      <w:r>
        <w:t>两份公开CSV不是完整会计账簿、发票、付款撤销记录或合同档案。本包未验证服务交付、法律授权、预算可用性或付款适当性；也未将异常、高比例或资料缺失定性为违法。结论仅限于所附公开记录及上述明确口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行政采购组｜公开记录复核交接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