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2024年采购付款复核与追查交接</w:t>
      </w:r>
    </w:p>
    <w:p>
      <w:pPr>
        <w:pStyle w:val="Heading1"/>
      </w:pPr>
      <w:r>
        <w:t>建议与决策边界</w:t>
      </w:r>
    </w:p>
    <w:p>
      <w:r>
        <w:t>先完成口径确认，再追查重大未匹配付款及付款与合同金额关系。当前材料不足以出具不重复的真实年度总支出，也不支持将未匹配或高比率直接认定为违规。建议负责人接受一套待核实结论和分层追查清单，不将本报告用作已完成的法定审计。</w:t>
      </w:r>
    </w:p>
    <w:p>
      <w:r>
        <w:t>原件含45,381条付款及52,544条合同版本记录。付款日期含日级日期和仅年份记录。合同号148653, 152975, 231772, 263110跨两类粒度；本轮未取得证明二者互斥的官方定义，因此分别报告净额，不相加。</w:t>
      </w:r>
    </w:p>
    <w:p>
      <w:r>
        <w:t>annual：4,046条、净额5,746,702,036.83美元；匹配、未匹配、冲突、直接付款金额之和与原始净额完全一致。详细构成见工作簿。</w:t>
      </w:r>
    </w:p>
    <w:p>
      <w:r>
        <w:t>dated：41,335条、净额4,582,627,056.36美元；匹配、未匹配、冲突、直接付款金额之和与原始净额完全一致。详细构成见工作簿。</w:t>
      </w:r>
    </w:p>
    <w:p>
      <w:pPr>
        <w:pStyle w:val="Heading1"/>
      </w:pPr>
      <w:r>
        <w:t>为何先确认版本和范围</w:t>
      </w:r>
    </w:p>
    <w:p>
      <w:r>
        <w:t>以2024年末批准记录建立工作视图后，与无截点的最新版本相比，9,024个合同的选版可能变化，其中1,727个关联本付款包。工作簿逐合同列出版本与两类金额，不能把两类金额相加作为总敞口。合同表只涵盖2019年起批准记录，部分未匹配可能来自范围缺口，而非合同不存在。</w:t>
      </w:r>
    </w:p>
    <w:p>
      <w:pPr>
        <w:pStyle w:val="Heading1"/>
      </w:pPr>
      <w:r>
        <w:t>分层追查与实际案例</w:t>
      </w:r>
    </w:p>
    <w:p>
      <w:r>
        <w:t>第一层由数据发布方与财务复核岗确认跨粒度记录；第二层在年度未匹配或冲突合同内按绝对净额优先调档；第三层对唯一关联且授予额为正的合同按付款/授予额比率筛查。每层前后次序是本参考建议，可因取证成本或实际业务证据调整；不是原始机构的既定政策。工作簿给出完整底表与本次选定的追查范围，不将未入选对象称作无风险。</w:t>
      </w:r>
    </w:p>
    <w:p>
      <w:r>
        <w:t>合同69568：年度净额33,568,319.28美元，关联状态unmatched，付款/授予额比率不适用。付款原件记录[42295]；截点前合同候选记录[]。未匹配先补完整合同链；高比率先核对付款期间、合同期限、修订和累计执行。只有支持文件能确认关系，不能用供应商近似名称猜配。</w:t>
      </w:r>
    </w:p>
    <w:p>
      <w:r>
        <w:t>合同27905：年度净额25,928,587.14美元，关联状态unmatched，付款/授予额比率不适用。付款原件记录[42959]；截点前合同候选记录[]。未匹配先补完整合同链；高比率先核对付款期间、合同期限、修订和累计执行。只有支持文件能确认关系，不能用供应商近似名称猜配。</w:t>
      </w:r>
    </w:p>
    <w:p>
      <w:r>
        <w:t>合同195006：年度净额814,852.00美元，关联状态matched，付款/授予额比率8148520.000000。付款原件记录[776]；截点前合同候选记录[35139]。未匹配先补完整合同链；高比率先核对付款期间、合同期限、修订和累计执行。只有支持文件能确认关系，不能用供应商近似名称猜配。</w:t>
      </w:r>
    </w:p>
    <w:p>
      <w:r>
        <w:t>合同241846：年度净额376,072.40美元，关联状态matched，付款/授予额比率341884.000000。付款原件记录[12860]；截点前合同候选记录[39333]。未匹配先补完整合同链；高比率先核对付款期间、合同期限、修订和累计执行。只有支持文件能确认关系，不能用供应商近似名称猜配。</w:t>
      </w:r>
    </w:p>
    <w:p>
      <w:pPr>
        <w:pStyle w:val="Heading1"/>
      </w:pPr>
      <w:r>
        <w:t>替代优先口径与交接</w:t>
      </w:r>
    </w:p>
    <w:p>
      <w:r>
        <w:t>在年度唯一匹配合同中，“比率前20”与“绝对净额前20”交集为3个合同。两榜完整对照见工作簿。比率口径更易突出小授予额，金额口径突出大资金项目；两种口径不是同一种风险证据。故建议保留金额榜作为第二轮备选，而不声称比率最高就是最重大违规。</w:t>
      </w:r>
    </w:p>
    <w:p>
      <w:r>
        <w:t>建议资料收到后由财务复核岗更新金额归属，由合同档案岗复核批准链；对仍存在矛盾的事项保留待核验，不为完成结账说明而任意选值。每个追查事项的请求材料与可关闭条件已列工作簿。岗位分工为提议，尚无真实指派或执行记录。</w:t>
      </w:r>
    </w:p>
    <w:p>
      <w:pPr>
        <w:pStyle w:val="Heading1"/>
      </w:pPr>
      <w:r>
        <w:t>限制</w:t>
      </w:r>
    </w:p>
    <w:p>
      <w:r>
        <w:t>这是公开快照回顾分析。未取得发票、完整合同、银行流水和内部授权制度；数据粒度的官方说明仍待核实。所有金额均为美元，负数保留；授予额不等于累计付款。本文不作违法、欺诈或法定审计结论。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