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/>
          <w:b/>
          <w:color w:val="17365D"/>
          <w:sz w:val="48"/>
        </w:rPr>
        <w:t>艺术作品再利用授权的</w:t>
        <w:br/>
        <w:t>判决边界与决策复核</w:t>
      </w:r>
    </w:p>
    <w:p>
      <w:pPr>
        <w:jc w:val="center"/>
      </w:pPr>
      <w:r>
        <w:rPr>
          <w:sz w:val="28"/>
        </w:rPr>
        <w:t>给授权委员会的法律研究备忘录</w:t>
      </w:r>
    </w:p>
    <w:p>
      <w:pPr>
        <w:spacing w:before="440"/>
        <w:jc w:val="center"/>
      </w:pPr>
      <w:r>
        <w:rPr>
          <w:b/>
        </w:rPr>
        <w:t xml:space="preserve">主题  </w:t>
      </w:r>
      <w:r>
        <w:t>Andy Warhol Foundation v. Goldsmith, 598 U.S. 508 (2023)</w:t>
        <w:br/>
      </w:r>
      <w:r>
        <w:rPr>
          <w:b/>
        </w:rPr>
        <w:t xml:space="preserve">材料  </w:t>
      </w:r>
      <w:r>
        <w:t>随附判决及17 U.S.C. §§101、106、107</w:t>
        <w:br/>
      </w:r>
      <w:r>
        <w:rPr>
          <w:b/>
        </w:rPr>
        <w:t xml:space="preserve">研究日期  </w:t>
      </w:r>
      <w:r>
        <w:t>2026年10月22日</w:t>
        <w:br/>
      </w:r>
      <w:r>
        <w:rPr>
          <w:b/>
        </w:rPr>
        <w:t xml:space="preserve">性质  </w:t>
      </w:r>
      <w:r>
        <w:t>新拟研究委托；不代表真实交易计划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20"/>
              </w:rPr>
              <w:t>一句话结论：最高法院否定的是2016年Orange Prince商业杂志许可在合理使用第一因素上的主张；它既未设立“新艺术表达即免责”，也未裁定Prince Series原作的创作、展示或出售一概违法。博物馆教学设想须补齐作品、权利、展示与经济事实后逐用途决定。</w:t>
            </w:r>
          </w:p>
        </w:tc>
      </w:tr>
    </w:tbl>
    <w:p>
      <w:r>
        <w:br w:type="page"/>
      </w:r>
    </w:p>
    <w:p>
      <w:r>
        <w:t>致：艺术机构授权委员会</w:t>
      </w:r>
    </w:p>
    <w:p>
      <w:r>
        <w:t>事由：Warhol判决后的艺术作品再利用授权边界</w:t>
      </w:r>
    </w:p>
    <w:p>
      <w:pPr>
        <w:pStyle w:val="Heading1"/>
      </w:pPr>
      <w:r>
        <w:t>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现在可作决定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边界/下一步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2016商业杂志授权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不能凭“新艺术表达”认定可放心授权；同类新许可暂停。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取得底层摄影许可/释放，或证明新use显著不同并完成四因素。</w:t>
            </w:r>
          </w:p>
        </w:tc>
      </w:tr>
      <w:tr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原作创作、展示、出售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不能当全面禁令，也不能当合法性确认。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最高法院明示未裁；分别核查权利、许可和行为。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非营利博物馆教学展示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有条件待审，不作终局合理使用结论。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按对象/权利→具体use→必要性→经济/市场→全因素顺序补证。</w:t>
            </w:r>
          </w:p>
        </w:tc>
      </w:tr>
    </w:tbl>
    <w:p>
      <w:r>
        <w:t>委员会应采用两个命题：分析单位是具体利用行为，而非作品整体声誉；“新表达”与“非营利教育”均相关，但都不是自动许可证。</w:t>
      </w:r>
    </w:p>
    <w:p>
      <w:pPr>
        <w:pStyle w:val="Source"/>
        <w:ind w:left="259"/>
      </w:pPr>
      <w:r>
        <w:rPr>
          <w:b/>
        </w:rPr>
        <w:t>依据：</w:t>
      </w:r>
      <w:r>
        <w:t>多数slip pp.12–21、28–35（PDF pp.18–27、34–41）；17 U.S.C. §107。</w:t>
      </w:r>
    </w:p>
    <w:p>
      <w:pPr>
        <w:pStyle w:val="Heading1"/>
      </w:pPr>
      <w:r>
        <w:t>一、任务、材料与限度</w:t>
      </w:r>
    </w:p>
    <w:p>
      <w:r>
        <w:t>本意见只使用委托所附2023年最高法院判决PDF、同案LII HTML阅读辅助及Cornell LII所载17 U.S.C. §§101、106、107。HTML不是另一份独立裁判。判决PDF图示已作为原件的一部分核对；未单附的许可、案卷、证言、权属或交易文件不冒称亲自审阅。</w:t>
      </w:r>
    </w:p>
    <w:p>
      <w:r>
        <w:t>“法院记载”与“本研究建议”分开。多数意见具有裁判效力；Gorsuch协同与Kagan异议分别标示；地区法院及第二巡回分析仅按最高法院转述。syllabus明示不构成法院意见，只作导航。</w:t>
      </w:r>
    </w:p>
    <w:p>
      <w:r>
        <w:t>本意见不冒充任何特定日期的完整现行法意见。委托未附其他可能影响出售或展示的法条、合同、权利链或法域资料，须另行补充。</w:t>
      </w:r>
    </w:p>
    <w:p>
      <w:pPr>
        <w:pStyle w:val="Heading1"/>
      </w:pPr>
      <w:r>
        <w:t>二、判决决定与未决定的事项</w:t>
      </w:r>
    </w:p>
    <w:p>
      <w:r>
        <w:t>判决记载：Goldsmith于1981年拍摄涉案肖像并持有版权。1984年，她经代理许可Vanity Fair把照片作为“artist reference”，限一次整页、一次小图且“不授其他使用权”；获$400及来源署名。Warhol制作刊登的紫色插图，并另制作15件，合称16件Prince Series。</w:t>
      </w:r>
    </w:p>
    <w:p>
      <w:pPr>
        <w:pStyle w:val="Source"/>
        <w:ind w:left="259"/>
      </w:pPr>
      <w:r>
        <w:rPr>
          <w:b/>
        </w:rPr>
        <w:t>依据：</w:t>
      </w:r>
      <w:r>
        <w:t>多数slip pp.3–5（PDF pp.9–11）。1984许可原件未作为本委托独立材料提供。</w:t>
      </w:r>
    </w:p>
    <w:p>
      <w:r>
        <w:t>2016年，Condé Nast向AWF支付$10,000，许可Orange Prince用于纪念Prince特刊封面；Goldsmith无费用或署名。地区法院支持AWF；第二巡回撤销并发回，认为四因素支持Goldsmith，并驳回AWF不实质相似主张。</w:t>
      </w:r>
    </w:p>
    <w:p>
      <w:pPr>
        <w:pStyle w:val="Source"/>
        <w:ind w:left="259"/>
      </w:pPr>
      <w:r>
        <w:rPr>
          <w:b/>
        </w:rPr>
        <w:t>依据：</w:t>
      </w:r>
      <w:r>
        <w:t>多数slip pp.5–12（PDF pp.11–18）；下级法院部分为转述。</w:t>
      </w:r>
    </w:p>
    <w:p>
      <w:r>
        <w:t>最高法院受理的唯一问题，是§107(1)第一因素是否支持这一2016商业许可。多数把具体use界定为AWF将Orange Prince许可给Condé Nast。照片与Orange Prince都在杂志中描绘Prince、配合关于Prince的报道；目的高度相似，商业许可进一步不利。因此第一因素支持Goldsmith，法院维持第二巡回判决。</w:t>
      </w:r>
    </w:p>
    <w:p>
      <w:pPr>
        <w:pStyle w:val="Source"/>
        <w:ind w:left="259"/>
      </w:pPr>
      <w:r>
        <w:rPr>
          <w:b/>
        </w:rPr>
        <w:t>依据：</w:t>
      </w:r>
      <w:r>
        <w:t>多数slip pp.12–13、21–27、35、38（PDF pp.18–19、27–33、41、44）。</w:t>
      </w:r>
    </w:p>
    <w:p>
      <w:r>
        <w:t>新表达、意义或信息可以相关，但不能单独决定第一因素。目的差异是程度问题，须与商业性及§106(2)衍生作品权协调。</w:t>
      </w:r>
    </w:p>
    <w:p>
      <w:pPr>
        <w:pStyle w:val="Source"/>
        <w:ind w:left="259"/>
      </w:pPr>
      <w:r>
        <w:rPr>
          <w:b/>
        </w:rPr>
        <w:t>依据：</w:t>
      </w:r>
      <w:r>
        <w:t>多数slip pp.15–20、28–34（PDF pp.21–26、34–40）。</w:t>
      </w:r>
    </w:p>
    <w:p>
      <w:r>
        <w:t>关键边界：法院明确“不对任何原Prince Series作品的创作、展示或出售发表意见”。Goldsmith已放弃除2016许可及类似商业许可前瞻救济外的其他请求，法院因此限缩分析。“未发表意见”既不是合法性确认，也不是禁令。最高法院也未自行重判因素二至四。</w:t>
      </w:r>
    </w:p>
    <w:p>
      <w:pPr>
        <w:pStyle w:val="Source"/>
        <w:ind w:left="259"/>
      </w:pPr>
      <w:r>
        <w:rPr>
          <w:b/>
        </w:rPr>
        <w:t>依据：</w:t>
      </w:r>
      <w:r>
        <w:t>多数slip p.21 nn.9–10、p.38（PDF pp.27、44）。</w:t>
      </w:r>
    </w:p>
    <w:p>
      <w:pPr>
        <w:pStyle w:val="Heading1"/>
      </w:pPr>
      <w:r>
        <w:t>三、用最强反方检验两种内部理解</w:t>
      </w:r>
    </w:p>
    <w:p>
      <w:pPr>
        <w:pStyle w:val="Heading2"/>
      </w:pPr>
      <w:r>
        <w:t>（一）“有新艺术表达即可放心授权”</w:t>
      </w:r>
    </w:p>
    <w:p>
      <w:r>
        <w:t>最强支持来自Kagan异议：Warhol改变了视觉处理、人物呈现与信息，鼓励后续创作要求给这些变化实质权重；地区法院也曾以新表达和新美学支持AWF。该论证真实抓住合理使用保护再创作的功能。</w:t>
      </w:r>
    </w:p>
    <w:p>
      <w:r>
        <w:t>但委员会不能采纳为规则。异议无裁判效力，地区法院被撤销；多数并未说新表达无关，而是要求继续问具体use为何复制、如何进入市场。2016年即使有Warhol风格，杂志利用功能仍与Goldsmith编辑许可重合。仅凭新意义免责还会掏空§106(2)。因此，艺术差异须记录，但不能越过目的、商业性、取用量和市场审查。</w:t>
      </w:r>
    </w:p>
    <w:p>
      <w:pPr>
        <w:pStyle w:val="Heading2"/>
      </w:pPr>
      <w:r>
        <w:t>（二）“判决禁止Prince Series一切再利用”</w:t>
      </w:r>
    </w:p>
    <w:p>
      <w:r>
        <w:t>最强支持是第二巡回认为四因素均支持Goldsmith且作品实质相似，最高法院又维持判决；1984许可按判决记载也很有限。这足以说明风险。</w:t>
      </w:r>
    </w:p>
    <w:p>
      <w:r>
        <w:t>但多数明示保留创作、展示和出售；同一作品在不同use下可能有不同第一因素结果。Gorsuch协同特别指出，商业杂志许可与非营利博物馆展示可能有不同目的。故不能设全面禁令。反过来，不禁并非推定许可：§106仍规定复制、衍生、分发、公开展示权。正确制度是逐use审批。</w:t>
      </w:r>
    </w:p>
    <w:p>
      <w:pPr>
        <w:pStyle w:val="Source"/>
        <w:ind w:left="259"/>
      </w:pPr>
      <w:r>
        <w:rPr>
          <w:b/>
        </w:rPr>
        <w:t>依据：</w:t>
      </w:r>
      <w:r>
        <w:t>§§101,106；多数slip p.21 n.10、pp.26–27；协同slip pp.4–6（PDF pp.49–51）。</w:t>
      </w:r>
    </w:p>
    <w:p>
      <w:pPr>
        <w:pStyle w:val="Heading1"/>
      </w:pPr>
      <w:r>
        <w:t>四、分用途决定</w:t>
      </w:r>
    </w:p>
    <w:p>
      <w:pPr>
        <w:pStyle w:val="Heading2"/>
      </w:pPr>
      <w:r>
        <w:t>2016 Orange Prince杂志授权</w:t>
      </w:r>
    </w:p>
    <w:p>
      <w:r>
        <w:t>当前决定：不得以“新增表达”追认为安全合理使用；对功能相同的未来商业编辑许可，暂停至取得Goldsmith相关权利方书面许可/释放，或新方案在目的、媒介、受众及市场上显著不同并完成四因素。理由不是商业用途永不合理使用，而是本案目的差异有限、$10,000商业许可与摄影师编辑许可市场重叠。</w:t>
      </w:r>
    </w:p>
    <w:p>
      <w:r>
        <w:t>本包未提供发回后程序、赔偿、和解或执行材料，故不声称最终救济或交易结果。</w:t>
      </w:r>
    </w:p>
    <w:p>
      <w:pPr>
        <w:pStyle w:val="Heading2"/>
      </w:pPr>
      <w:r>
        <w:t>Prince Series原作的创作、展示、出售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不能推断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现有动作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创作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不能从最高法院判决推断历史创作合法或违法。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索取1984完整许可、代理权限、逐件制作事实、摄影版权权属/登记和适用法。</w:t>
            </w:r>
          </w:p>
        </w:tc>
      </w:tr>
      <w:tr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展示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持有原作不等于拥有全部展示、复制、线上或宣传权。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拆分现场、投影、墙签、目录、网站、社媒、广告并逐项审查。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出售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曾售12件不是合法性裁判；Warhol判决也不是禁售令。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核对物权链、实体与版权边界、合同保证及未附法定限制/例外。</w:t>
            </w:r>
          </w:p>
        </w:tc>
      </w:tr>
    </w:tbl>
    <w:p>
      <w:r>
        <w:t>§101与§106说明，实体物所有权与版权不是同一问题。由于本包未含其他潜在限制/例外，委员会应要求补充研究，而非补造条件。</w:t>
      </w:r>
    </w:p>
    <w:p>
      <w:pPr>
        <w:pStyle w:val="Heading2"/>
      </w:pPr>
      <w:r>
        <w:t>非营利博物馆教学展示</w:t>
      </w:r>
    </w:p>
    <w:p>
      <w:r>
        <w:t>当前决定：有条件待审。§107列举teaching并要求考虑非营利教育目的，但仍要求在特定案件中考量全部四因素。“博物馆”“非营利”“教学”是有利事实，不是结果标签。</w:t>
      </w:r>
    </w:p>
    <w:p>
      <w:r>
        <w:t>最强批准情形：墙签、课程和策展结构可观察地服务批评、评论或教学；现场受限；复制仅为必要；不作售票、赞助或商品主视觉；无替代正常许可市场。最强拒绝情形：教学仅为名义，实际用形象吸引购票/赞助；整幅高清图全球永久传播、广告或商品化；存在被替代的同类许可。现有事实不足以在两端间选择。</w:t>
      </w:r>
    </w:p>
    <w:p>
      <w:pPr>
        <w:pStyle w:val="Heading1"/>
      </w:pPr>
      <w:r>
        <w:t>五、博物馆补证顺序与条件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门槛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1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逐件清单：标题、版本、媒介、年份、原件/复制、底层图像。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与展签和素材编号100%对应，否则暂停。</w:t>
            </w:r>
          </w:p>
        </w:tc>
      </w:tr>
      <w:tr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2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实体物权、AWF权限、Goldsmith权属/登记、1984完整许可和后续许可。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每项权利有文件来源、范围、期限；判决摘要不替代合同。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3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拆分现场、投影、讲义、图录、网站、社媒、新闻稿、广告、售票、存档、商品。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每个渠道、文件、受众独立成行；新增use回审。</w:t>
            </w:r>
          </w:p>
        </w:tc>
      </w:tr>
      <w:tr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4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策展论点、墙签、课程及取用必要性。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目的须由观众实际接触的内容验证。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5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尺寸、分辨率、数量、下载/直播、访问控制、期限、地域。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技术范围冻结并写入批准。</w:t>
            </w:r>
          </w:p>
        </w:tc>
      </w:tr>
      <w:tr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6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门票、费用、赞助、营销、商品；许可可得性、报价、既有市场。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财务/市场确认；权利人沉默不视为许可。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7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逐use映射§106并写§107四因素；补充未附法条、法域、合同与救济研究。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许可覆盖则按许可；否则须有完整签字法律结论。</w:t>
            </w:r>
          </w:p>
        </w:tc>
      </w:tr>
      <w:tr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8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批准、限缩、寻求许可或拒绝，列全部操作条件。</w:t>
            </w:r>
          </w:p>
        </w:tc>
        <w:tc>
          <w:tcPr>
            <w:tcW w:type="dxa" w:w="331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用途漂移、素材变化或商业合作自动触发复核。</w:t>
            </w:r>
          </w:p>
        </w:tc>
      </w:tr>
    </w:tbl>
    <w:p>
      <w:r>
        <w:t>实务上，因素一看实际目的与商业性；因素二核验照片的创作性与发表状态；因素三说明每个渠道的取用量为何必要；因素四收集教育、博物馆、编辑、宣传和商品许可市场证据。若事实接近2016商业编辑许可，应暂停并寻求许可；若为受限、情境化、真实教学现场展示，第一因素可能不同，但仍须完成其余因素与补充法源。</w:t>
      </w:r>
    </w:p>
    <w:p>
      <w:pPr>
        <w:pStyle w:val="Heading1"/>
      </w:pPr>
      <w:r>
        <w:t>六、建议决议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20"/>
              </w:rPr>
              <w:t>委员会不以新美学、意义或信息为单独授权依据，也不把Warhol判决解释为Prince Series全部用途的禁令。对与2016 Condé Nast许可功能相同或高度相似的商业编辑/宣传许可，在取得底层摄影许可或完成事实显著不同的全因素审查前不批准。对原作创作、展示、出售及非营利教学展示，按具体作品、权利和use补证后分别决定；任何新增渠道或商业化条件触发复核。</w:t>
            </w:r>
          </w:p>
        </w:tc>
      </w:tr>
    </w:tbl>
    <w:p>
      <w:pPr>
        <w:pStyle w:val="Heading1"/>
      </w:pPr>
      <w:r>
        <w:t>七、对外简明案件说明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20"/>
              </w:rPr>
              <w:t>美国最高法院在Andy Warhol Foundation v. Goldsmith中处理的是一项特定用途：AWF于2016年将Orange Prince商业许可给杂志，用于关于Prince的纪念特刊。法院认定，该用途在合理使用第一因素上不利于AWF；仅有新的艺术表达并不自动构成合理使用。法院同时明确没有裁定原Prince Series作品的创作、展示或出售是否合法。因此，该案既不是对所有再创作的通行许可，也不是对Prince Series一切再利用的全面禁止；后续项目仍须依具体目的、方式、商业性、取用量和市场影响审查。</w:t>
            </w:r>
          </w:p>
        </w:tc>
      </w:tr>
    </w:tbl>
    <w:p>
      <w:pPr>
        <w:pStyle w:val="Heading1"/>
      </w:pPr>
      <w:r>
        <w:t>八、定位速查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命题</w:t>
            </w:r>
          </w:p>
        </w:tc>
        <w:tc>
          <w:tcPr>
            <w:tcW w:type="dxa" w:w="4968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syllabus非法院意见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Syllabus p.1 note；PDF p.1</w:t>
            </w:r>
          </w:p>
        </w:tc>
      </w:tr>
      <w:tr>
        <w:tc>
          <w:tcPr>
            <w:tcW w:type="dxa" w:w="496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2016事实/$10,000</w:t>
            </w:r>
          </w:p>
        </w:tc>
        <w:tc>
          <w:tcPr>
            <w:tcW w:type="dxa" w:w="496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多数slip pp.5–6；PDF pp.11–12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唯一问题/具体use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多数slip p.12；PDF p.18</w:t>
            </w:r>
          </w:p>
        </w:tc>
      </w:tr>
      <w:tr>
        <w:tc>
          <w:tcPr>
            <w:tcW w:type="dxa" w:w="496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新表达不单独决定</w:t>
            </w:r>
          </w:p>
        </w:tc>
        <w:tc>
          <w:tcPr>
            <w:tcW w:type="dxa" w:w="496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多数slip pp.15–20,28–34；PDF pp.21–26,34–40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相同用途/商业性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多数slip pp.21–27,35；PDF pp.27–33,41</w:t>
            </w:r>
          </w:p>
        </w:tc>
      </w:tr>
      <w:tr>
        <w:tc>
          <w:tcPr>
            <w:tcW w:type="dxa" w:w="496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不裁创作、展示、出售</w:t>
            </w:r>
          </w:p>
        </w:tc>
        <w:tc>
          <w:tcPr>
            <w:tcW w:type="dxa" w:w="496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多数slip p.21 nn.9–10；PDF p.27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affirmed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多数slip p.38；PDF p.44</w:t>
            </w:r>
          </w:p>
        </w:tc>
      </w:tr>
      <w:tr>
        <w:tc>
          <w:tcPr>
            <w:tcW w:type="dxa" w:w="496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协同博物馆讨论</w:t>
            </w:r>
          </w:p>
        </w:tc>
        <w:tc>
          <w:tcPr>
            <w:tcW w:type="dxa" w:w="496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协同slip pp.1–6；PDF pp.46–51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异议最强论证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异议slip pp.1–4,13–36；PDF pp.52–55,64–87</w:t>
            </w:r>
          </w:p>
        </w:tc>
      </w:tr>
      <w:tr>
        <w:tc>
          <w:tcPr>
            <w:tcW w:type="dxa" w:w="496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法条</w:t>
            </w:r>
          </w:p>
        </w:tc>
        <w:tc>
          <w:tcPr>
            <w:tcW w:type="dxa" w:w="496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1F1F1F"/>
                <w:sz w:val="17"/>
              </w:rPr>
              <w:t>17 U.S.C. §§101,106(1)–(3),(5),107</w:t>
            </w:r>
          </w:p>
        </w:tc>
      </w:tr>
    </w:tbl>
    <w:p>
      <w:pPr>
        <w:pStyle w:val="Source"/>
      </w:pPr>
      <w:r>
        <w:t>配套legal_review.xlsx的[A]为本研究分析，不应误引为法院原话。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内部研究材料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授权委员会法律研究  |  AWF v. Goldsmith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YaHei" w:hAnsi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8" w:lineRule="auto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8" w:lineRule="auto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8" w:lineRule="auto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D9A4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78" w:lineRule="auto" w:before="200"/>
      <w:contextualSpacing/>
    </w:pPr>
    <w:rPr>
      <w:rFonts w:asciiTheme="majorHAnsi" w:eastAsiaTheme="majorEastAsia" w:hAnsiTheme="majorHAnsi" w:cstheme="majorBidi" w:ascii="Microsoft YaHei" w:hAnsi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Microsoft YaHei" w:hAnsi="Microsoft YaHei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艺术作品再利用授权的判决边界与决策复核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