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3864"/>
          <w:sz w:val="34"/>
        </w:rPr>
        <w:t>法律备忘录 · LEGAL MEMORANDUM</w:t>
      </w:r>
    </w:p>
    <w:p>
      <w:pPr>
        <w:spacing w:after="200"/>
        <w:jc w:val="center"/>
      </w:pPr>
      <w:r>
        <w:rPr>
          <w:rFonts w:ascii="Microsoft YaHei" w:hAnsi="Microsoft YaHei" w:eastAsia="Microsoft YaHei"/>
          <w:b/>
          <w:color w:val="1F3864"/>
          <w:sz w:val="26"/>
        </w:rPr>
        <w:t>艺术作品再利用授权的判决边界与决策复核</w:t>
      </w:r>
    </w:p>
    <w:tbl>
      <w:tblPr>
        <w:tblStyle w:val="TableGrid"/>
        <w:tblW w:type="auto" w:w="0"/>
        <w:jc w:val="center"/>
        <w:tblLook w:firstColumn="1" w:firstRow="1" w:lastColumn="0" w:lastRow="0" w:noHBand="0" w:noVBand="1" w:val="04A0"/>
      </w:tblPr>
      <w:tblGrid>
        <w:gridCol w:w="1474"/>
        <w:gridCol w:w="7597"/>
      </w:tblGrid>
      <w:tr>
        <w:tc>
          <w:tcPr>
            <w:tcW w:type="dxa" w:w="1474"/>
            <w:shd w:val="clear" w:fill="D6E4F0"/>
          </w:tcPr>
          <w:p>
            <w:pPr>
              <w:spacing w:after="40"/>
            </w:pPr>
            <w:r/>
            <w:r>
              <w:rPr>
                <w:rFonts w:ascii="Microsoft YaHei" w:hAnsi="Microsoft YaHei" w:eastAsia="Microsoft YaHei"/>
                <w:b/>
                <w:sz w:val="19"/>
              </w:rPr>
              <w:t>致</w:t>
            </w:r>
          </w:p>
        </w:tc>
        <w:tc>
          <w:tcPr>
            <w:tcW w:type="dxa" w:w="7597"/>
          </w:tcPr>
          <w:p>
            <w:pPr>
              <w:spacing w:after="40"/>
            </w:pPr>
            <w:r/>
            <w:r>
              <w:rPr>
                <w:rFonts w:ascii="Microsoft YaHei" w:hAnsi="Microsoft YaHei" w:eastAsia="Microsoft YaHei"/>
                <w:b w:val="0"/>
                <w:sz w:val="19"/>
              </w:rPr>
              <w:t>授权委员会（艺术机构）</w:t>
            </w:r>
          </w:p>
        </w:tc>
      </w:tr>
      <w:tr>
        <w:tc>
          <w:tcPr>
            <w:tcW w:type="dxa" w:w="1474"/>
            <w:shd w:val="clear" w:fill="D6E4F0"/>
          </w:tcPr>
          <w:p>
            <w:pPr>
              <w:spacing w:after="40"/>
            </w:pPr>
            <w:r/>
            <w:r>
              <w:rPr>
                <w:rFonts w:ascii="Microsoft YaHei" w:hAnsi="Microsoft YaHei" w:eastAsia="Microsoft YaHei"/>
                <w:b/>
                <w:sz w:val="19"/>
              </w:rPr>
              <w:t>自</w:t>
            </w:r>
          </w:p>
        </w:tc>
        <w:tc>
          <w:tcPr>
            <w:tcW w:type="dxa" w:w="7597"/>
          </w:tcPr>
          <w:p>
            <w:pPr>
              <w:spacing w:after="40"/>
            </w:pPr>
            <w:r/>
            <w:r>
              <w:rPr>
                <w:rFonts w:ascii="Microsoft YaHei" w:hAnsi="Microsoft YaHei" w:eastAsia="Microsoft YaHei"/>
                <w:b w:val="0"/>
                <w:sz w:val="19"/>
              </w:rPr>
              <w:t>版权法律研究人员（内部研究支持）</w:t>
            </w:r>
          </w:p>
        </w:tc>
      </w:tr>
      <w:tr>
        <w:tc>
          <w:tcPr>
            <w:tcW w:type="dxa" w:w="1474"/>
            <w:shd w:val="clear" w:fill="D6E4F0"/>
          </w:tcPr>
          <w:p>
            <w:pPr>
              <w:spacing w:after="40"/>
            </w:pPr>
            <w:r/>
            <w:r>
              <w:rPr>
                <w:rFonts w:ascii="Microsoft YaHei" w:hAnsi="Microsoft YaHei" w:eastAsia="Microsoft YaHei"/>
                <w:b/>
                <w:sz w:val="19"/>
              </w:rPr>
              <w:t>日期</w:t>
            </w:r>
          </w:p>
        </w:tc>
        <w:tc>
          <w:tcPr>
            <w:tcW w:type="dxa" w:w="7597"/>
          </w:tcPr>
          <w:p>
            <w:pPr>
              <w:spacing w:after="40"/>
            </w:pPr>
            <w:r/>
            <w:r>
              <w:rPr>
                <w:rFonts w:ascii="Microsoft YaHei" w:hAnsi="Microsoft YaHei" w:eastAsia="Microsoft YaHei"/>
                <w:b w:val="0"/>
                <w:sz w:val="19"/>
              </w:rPr>
              <w:t>2026年10月22日</w:t>
            </w:r>
          </w:p>
        </w:tc>
      </w:tr>
      <w:tr>
        <w:tc>
          <w:tcPr>
            <w:tcW w:type="dxa" w:w="1474"/>
            <w:shd w:val="clear" w:fill="D6E4F0"/>
          </w:tcPr>
          <w:p>
            <w:pPr>
              <w:spacing w:after="40"/>
            </w:pPr>
            <w:r/>
            <w:r>
              <w:rPr>
                <w:rFonts w:ascii="Microsoft YaHei" w:hAnsi="Microsoft YaHei" w:eastAsia="Microsoft YaHei"/>
                <w:b/>
                <w:sz w:val="19"/>
              </w:rPr>
              <w:t>事由</w:t>
            </w:r>
          </w:p>
        </w:tc>
        <w:tc>
          <w:tcPr>
            <w:tcW w:type="dxa" w:w="7597"/>
          </w:tcPr>
          <w:p>
            <w:pPr>
              <w:spacing w:after="40"/>
            </w:pPr>
            <w:r/>
            <w:r>
              <w:rPr>
                <w:rFonts w:ascii="Microsoft YaHei" w:hAnsi="Microsoft YaHei" w:eastAsia="Microsoft YaHei"/>
                <w:b w:val="0"/>
                <w:sz w:val="19"/>
              </w:rPr>
              <w:t>Andy Warhol Foundation for the Visual Arts, Inc. v. Goldsmith, 598 U.S. ___ (2023)（No. 21–869，2023年5月18日判决）对艺术品再利用授权审查的意义；纠正委员会内部两种相反理解；就三类用途给出可作决定及其边界</w:t>
            </w:r>
          </w:p>
        </w:tc>
      </w:tr>
      <w:tr>
        <w:tc>
          <w:tcPr>
            <w:tcW w:type="dxa" w:w="1474"/>
            <w:shd w:val="clear" w:fill="D6E4F0"/>
          </w:tcPr>
          <w:p>
            <w:pPr>
              <w:spacing w:after="40"/>
            </w:pPr>
            <w:r/>
            <w:r>
              <w:rPr>
                <w:rFonts w:ascii="Microsoft YaHei" w:hAnsi="Microsoft YaHei" w:eastAsia="Microsoft YaHei"/>
                <w:b/>
                <w:sz w:val="19"/>
              </w:rPr>
              <w:t>依据材料</w:t>
            </w:r>
          </w:p>
        </w:tc>
        <w:tc>
          <w:tcPr>
            <w:tcW w:type="dxa" w:w="7597"/>
          </w:tcPr>
          <w:p>
            <w:pPr>
              <w:spacing w:after="40"/>
            </w:pPr>
            <w:r/>
            <w:r>
              <w:rPr>
                <w:rFonts w:ascii="Microsoft YaHei" w:hAnsi="Microsoft YaHei" w:eastAsia="Microsoft YaHei"/>
                <w:b w:val="0"/>
                <w:sz w:val="19"/>
              </w:rPr>
              <w:t>/app/input_files/ 随附原件：最高法院判决 PDF（含原始图示 fig.1–7 及 Appendix；同案 Cornell LII HTML 仅为阅读辅助，非另一独立裁判）；Cornell LII 公开的 17 U.S.C. §§101、106、107。未单独附送的证据（1 App./2 App. 卷宗、专家证词、授权合同等）本备忘录不冒称亲自审阅，仅按判决对其的转述引用。</w:t>
            </w:r>
          </w:p>
        </w:tc>
      </w:tr>
      <w:tr>
        <w:tc>
          <w:tcPr>
            <w:tcW w:type="dxa" w:w="1474"/>
            <w:shd w:val="clear" w:fill="D6E4F0"/>
          </w:tcPr>
          <w:p>
            <w:pPr>
              <w:spacing w:after="40"/>
            </w:pPr>
            <w:r/>
            <w:r>
              <w:rPr>
                <w:rFonts w:ascii="Microsoft YaHei" w:hAnsi="Microsoft YaHei" w:eastAsia="Microsoft YaHei"/>
                <w:b/>
                <w:sz w:val="19"/>
              </w:rPr>
              <w:t>性质与限制</w:t>
            </w:r>
          </w:p>
        </w:tc>
        <w:tc>
          <w:tcPr>
            <w:tcW w:type="dxa" w:w="7597"/>
          </w:tcPr>
          <w:p>
            <w:pPr>
              <w:spacing w:after="40"/>
            </w:pPr>
            <w:r/>
            <w:r>
              <w:rPr>
                <w:rFonts w:ascii="Microsoft YaHei" w:hAnsi="Microsoft YaHei" w:eastAsia="Microsoft YaHei"/>
                <w:b w:val="0"/>
                <w:sz w:val="19"/>
              </w:rPr>
              <w:t>本备忘录系新拟研究委托之成果，不代表任何真实机构正计划交易；法律资料按随附版本研究，未联网核实后续发展，不冒充任何特定日期的完整现行法律意见。判决 PDF 内图示为原件所含，本文仅依判决正文的文字描述与图注引用，未对图片内容作独立鉴定。凡属研究员分析处均已标明，与具裁判效力的判决内容严格区分。</w:t>
            </w:r>
          </w:p>
        </w:tc>
      </w:tr>
    </w:tbl>
    <w:p/>
    <w:p>
      <w:pPr>
        <w:pStyle w:val="Heading1"/>
      </w:pPr>
      <w:r>
        <w:t>一、执行摘要</w:t>
      </w:r>
    </w:p>
    <w:p>
      <w:pPr>
        <w:spacing w:after="120"/>
      </w:pPr>
      <w:r>
        <w:rPr>
          <w:rFonts w:ascii="Microsoft YaHei" w:hAnsi="Microsoft YaHei" w:eastAsia="Microsoft YaHei"/>
          <w:b w:val="0"/>
          <w:sz w:val="21"/>
        </w:rPr>
        <w:t>委员会内部现有两种理解都不成立，且方向相反地夸大了判决：</w:t>
      </w:r>
    </w:p>
    <w:p>
      <w:pPr>
        <w:pStyle w:val="ListBullet"/>
        <w:spacing w:after="60"/>
      </w:pPr>
      <w:r>
        <w:rPr>
          <w:rFonts w:ascii="Microsoft YaHei" w:hAnsi="Microsoft YaHei" w:eastAsia="Microsoft YaHei"/>
          <w:b/>
          <w:i w:val="0"/>
          <w:color w:val="C00000"/>
          <w:sz w:val="21"/>
        </w:rPr>
        <w:t>误解①『只要有新的艺术表达就能放心授权』</w:t>
      </w:r>
      <w:r>
        <w:rPr>
          <w:rFonts w:ascii="Microsoft YaHei" w:hAnsi="Microsoft YaHei" w:eastAsia="Microsoft YaHei"/>
          <w:b w:val="0"/>
          <w:i w:val="0"/>
          <w:sz w:val="21"/>
        </w:rPr>
        <w:t>——多数意见明确否定：新表达、新意义或新讯息与第一因素相关，但『若无更多（without more）』并不决定性；否则『变革性使用』将吞噬版权人的衍生作品专有权（§106(2)、§101）。（多数意见 slip op. 12、28–29；PDF 第18、34–35页）</w:t>
      </w:r>
    </w:p>
    <w:p>
      <w:pPr>
        <w:pStyle w:val="ListBullet"/>
        <w:spacing w:after="60"/>
      </w:pPr>
      <w:r>
        <w:rPr>
          <w:rFonts w:ascii="Microsoft YaHei" w:hAnsi="Microsoft YaHei" w:eastAsia="Microsoft YaHei"/>
          <w:b/>
          <w:i w:val="0"/>
          <w:color w:val="C00000"/>
          <w:sz w:val="21"/>
        </w:rPr>
        <w:t>误解②『判决已禁止 Prince Series 作品的一切再利用』</w:t>
      </w:r>
      <w:r>
        <w:rPr>
          <w:rFonts w:ascii="Microsoft YaHei" w:hAnsi="Microsoft YaHei" w:eastAsia="Microsoft YaHei"/>
          <w:b w:val="0"/>
          <w:i w:val="0"/>
          <w:sz w:val="21"/>
        </w:rPr>
        <w:t>——多数意见明示：本院『对任何 Prince Series 原作的创作、展示或出售不表达意见』（expresses no opinion as to the creation, display, or sale of any of the original Prince Series works）。（多数意见 slip op. 21；PDF 第27页）Gorsuch 协同更进一步：本院『甚至未决定』该图像是否侵犯版权，只审了合理使用抗辩中的第一因素。（Gorsuch 协同 slip op. 5；PDF 第50页）</w:t>
      </w:r>
    </w:p>
    <w:p>
      <w:pPr>
        <w:spacing w:after="120"/>
      </w:pPr>
      <w:r>
        <w:rPr>
          <w:rFonts w:ascii="Microsoft YaHei" w:hAnsi="Microsoft YaHei" w:eastAsia="Microsoft YaHei"/>
          <w:b w:val="0"/>
          <w:sz w:val="21"/>
        </w:rPr>
        <w:t>判决真正决定的，是一件窄事：就 AWF 在 2016 年将 Orange Prince 以 10,000 美元商业授权给 Condé Nast 用作纪念 Prince 特刊《The Genius of Prince》封面这一具体用途，§107(1) 第一因素（使用的目的与性质）不利于 AWF 的合理使用抗辩；第二巡回判决被维持（11 F. 4th 26, affirmed）。（多数意见 slip op. 2、12–13、38；PDF 第8、18–19、44页）第二、三、四因素与『实质相似』在最高法院未被争议，维持上诉法院认定；是否最终构成侵权，本院未判。</w:t>
      </w:r>
    </w:p>
    <w:p>
      <w:pPr>
        <w:spacing w:after="120"/>
      </w:pPr>
      <w:r>
        <w:rPr>
          <w:rFonts w:ascii="Microsoft YaHei" w:hAnsi="Microsoft YaHei" w:eastAsia="Microsoft YaHei"/>
          <w:b/>
          <w:sz w:val="21"/>
        </w:rPr>
        <w:t>据此，委员会当前可以作出三项决定（详见第五、七部分）：</w:t>
      </w:r>
    </w:p>
    <w:p>
      <w:pPr>
        <w:pStyle w:val="ListBullet"/>
        <w:spacing w:after="60"/>
      </w:pPr>
      <w:r>
        <w:rPr>
          <w:rFonts w:ascii="Microsoft YaHei" w:hAnsi="Microsoft YaHei" w:eastAsia="Microsoft YaHei"/>
          <w:b/>
          <w:i w:val="0"/>
          <w:sz w:val="21"/>
        </w:rPr>
        <w:t>决定一（现在就做）：</w:t>
      </w:r>
      <w:r>
        <w:rPr>
          <w:rFonts w:ascii="Microsoft YaHei" w:hAnsi="Microsoft YaHei" w:eastAsia="Microsoft YaHei"/>
          <w:b w:val="0"/>
          <w:i w:val="0"/>
          <w:sz w:val="21"/>
        </w:rPr>
        <w:t>把『将 Prince Series（或同类衍生作品）图像授权给杂志/出版方，用作关于该肖像主体的报道之封面或配图』的商业授权，列为推定第一因素不利的高风险类别；此类交易未取得底层照片权利人（如 Goldsmith）许可前不予放行。</w:t>
      </w:r>
    </w:p>
    <w:p>
      <w:pPr>
        <w:pStyle w:val="ListBullet"/>
        <w:spacing w:after="60"/>
      </w:pPr>
      <w:r>
        <w:rPr>
          <w:rFonts w:ascii="Microsoft YaHei" w:hAnsi="Microsoft YaHei" w:eastAsia="Microsoft YaHei"/>
          <w:b/>
          <w:i w:val="0"/>
          <w:sz w:val="21"/>
        </w:rPr>
        <w:t>决定二（现在就做）：</w:t>
      </w:r>
      <w:r>
        <w:rPr>
          <w:rFonts w:ascii="Microsoft YaHei" w:hAnsi="Microsoft YaHei" w:eastAsia="Microsoft YaHei"/>
          <w:b w:val="0"/>
          <w:i w:val="0"/>
          <w:sz w:val="21"/>
        </w:rPr>
        <w:t>把授权审查协议改为『用途导向』（use-specific）：不再问『这件作品有没有新表达』，而是问『这一次使用是什么、目的与原作典型用途是否相同或高度相似、是否商业、有无独立正当化』。同一件作品，不同用途结论可以不同——这正是本判决的方法论核心。（多数意见 slip op. 20–21；PDF 第26–27页）</w:t>
      </w:r>
    </w:p>
    <w:p>
      <w:pPr>
        <w:pStyle w:val="ListBullet"/>
        <w:spacing w:after="60"/>
      </w:pPr>
      <w:r>
        <w:rPr>
          <w:rFonts w:ascii="Microsoft YaHei" w:hAnsi="Microsoft YaHei" w:eastAsia="Microsoft YaHei"/>
          <w:b/>
          <w:i w:val="0"/>
          <w:sz w:val="21"/>
        </w:rPr>
        <w:t>决定三（暂缓决定、启动补证）：</w:t>
      </w:r>
      <w:r>
        <w:rPr>
          <w:rFonts w:ascii="Microsoft YaHei" w:hAnsi="Microsoft YaHei" w:eastAsia="Microsoft YaHei"/>
          <w:b w:val="0"/>
          <w:i w:val="0"/>
          <w:sz w:val="21"/>
        </w:rPr>
        <w:t>对『非营利博物馆教学展示』设想，现在不能也不应下最终结论：委员会只有用途设想，没有完整作品清单、权利链、展示方式、收费与许可资料。本备忘录不替委员会补造这些事实，而是给出有先后顺序的资料请求与决策条件（第 5.3 节），条件满足前不作出授权决定。</w:t>
      </w:r>
    </w:p>
    <w:p>
      <w:pPr>
        <w:pStyle w:val="Heading1"/>
      </w:pPr>
      <w:r>
        <w:t>二、判决的裁判边界：决定了什么，没有决定什么</w:t>
      </w:r>
    </w:p>
    <w:p>
      <w:pPr>
        <w:pStyle w:val="Heading2"/>
      </w:pPr>
      <w:r>
        <w:t>2.1 提交法院的问题本来就很窄</w:t>
      </w:r>
    </w:p>
    <w:p>
      <w:pPr>
        <w:spacing w:after="120"/>
      </w:pPr>
      <w:r>
        <w:rPr>
          <w:rFonts w:ascii="Microsoft YaHei" w:hAnsi="Microsoft YaHei" w:eastAsia="Microsoft YaHei"/>
          <w:b w:val="0"/>
          <w:sz w:val="21"/>
        </w:rPr>
        <w:t>最高法院调卷只受理了一个问题：§107(1) 第一因素——『使用的目的与性质，包括是否属商业性质或非营利教育目的』——是否有利于 AWF『近期对 Condé Nast 的商业授权』。（多数意见 slip op. 2、12；PDF 第8、18页）AWF 在最高法院未质疑第二巡回对第二、三、四因素均有利于 Goldsmith 的认定，也未再质疑两作品『实质相似』。（多数意见 slip op. 12、38；PDF 第18、44页）Goldsmith 一方则已放弃除 2016 年 Condé Nast 授权之外的全部救济请求，仅保留对该授权及『类似商业授权』（similar commercial licensing）的前瞻性救济请求。（多数意见 slip op. 21 n.9；PDF 第27页）</w:t>
      </w:r>
    </w:p>
    <w:p>
      <w:pPr>
        <w:pStyle w:val="Heading2"/>
      </w:pPr>
      <w:r>
        <w:t>2.2 Held（具裁判效力的结论）</w:t>
      </w:r>
    </w:p>
    <w:p>
      <w:pPr>
        <w:spacing w:after="120"/>
      </w:pPr>
      <w:r>
        <w:rPr>
          <w:rFonts w:ascii="Microsoft YaHei" w:hAnsi="Microsoft YaHei" w:eastAsia="Microsoft YaHei"/>
          <w:b w:val="0"/>
          <w:sz w:val="21"/>
        </w:rPr>
        <w:t>第一因素不利于 AWF。理由链条是：(a) 第一因素问的是被控侵权的『具体使用』是否有进一步目的或不同性质，这是程度问题，须与商业性权衡；(b) 本案的具体使用＝把 Orange Prince 授权给 Condé Nast 做纪念 Prince 特刊的封面；在该语境中，其目的与 Goldsmith 照片的典型用途实质相同——『两者都是在杂志中用来描绘 Prince 的 Prince 肖像』（both are portraits of Prince used in magazines to illustrate stories about Prince）；(c) 该使用属商业性质（10,000 美元许可费），且 Goldsmith 本人正是以此类杂志编辑授权营生（1981–2016 年间其照片多次登上 People、Musician 等杂志封面；Prince 去世后 People 付其 1,000 美元做特刊《Celebrating Prince: 1958–2016》）；(d) 新表达（地区法院认定的『iconic, larger-than-life』观感）与所谓对名人『去人性化』的评论，对照片本身『无批评性指向』（no critical bearing），处于 Campbell 所称正当化的『最低点』，而商业性因此『更显眼』；(e) 目的实质相同＋商业性质＋无其他令人信服的正当化 → 第一因素有利于 Goldsmith。（多数意见 slip op. 12–13、22–25、28–35、38；PDF 第18–19、28–31、34–41、44页）</w:t>
      </w:r>
    </w:p>
    <w:p>
      <w:pPr>
        <w:spacing w:after="120"/>
      </w:pPr>
      <w:r>
        <w:rPr>
          <w:rFonts w:ascii="Microsoft YaHei" w:hAnsi="Microsoft YaHei" w:eastAsia="Microsoft YaHei"/>
          <w:b w:val="0"/>
          <w:sz w:val="21"/>
        </w:rPr>
        <w:t>多数意见同时给出一个总括规则，可直接用作审查基准：『如果原作与二手使用共享相同或高度相似的目的，且二手使用属商业性质，则第一因素很可能不利于合理使用——除非存在其他复制正当化理由。』（多数意见 slip op. 20；PDF 第26页）</w:t>
      </w:r>
    </w:p>
    <w:p>
      <w:pPr>
        <w:pStyle w:val="Heading2"/>
      </w:pPr>
      <w:r>
        <w:t>2.3 判决没有决定的事（同样有原文依据）</w:t>
      </w:r>
    </w:p>
    <w:p>
      <w:pPr>
        <w:pStyle w:val="ListBullet"/>
        <w:spacing w:after="60"/>
      </w:pPr>
      <w:r>
        <w:rPr>
          <w:rFonts w:ascii="Microsoft YaHei" w:hAnsi="Microsoft YaHei" w:eastAsia="Microsoft YaHei"/>
          <w:b/>
          <w:i w:val="0"/>
          <w:sz w:val="21"/>
        </w:rPr>
        <w:t>对 Prince Series 原作的『创作、展示、出售』不表达任何意见。</w:t>
      </w:r>
      <w:r>
        <w:rPr>
          <w:rFonts w:ascii="Microsoft YaHei" w:hAnsi="Microsoft YaHei" w:eastAsia="Microsoft YaHei"/>
          <w:b w:val="0"/>
          <w:i w:val="0"/>
          <w:sz w:val="21"/>
        </w:rPr>
        <w:t>（多数意见 slip op. 21；PDF 第27页）</w:t>
      </w:r>
    </w:p>
    <w:p>
      <w:pPr>
        <w:pStyle w:val="ListBullet"/>
        <w:spacing w:after="60"/>
      </w:pPr>
      <w:r>
        <w:rPr>
          <w:rFonts w:ascii="Microsoft YaHei" w:hAnsi="Microsoft YaHei" w:eastAsia="Microsoft YaHei"/>
          <w:b/>
          <w:i w:val="0"/>
          <w:sz w:val="21"/>
        </w:rPr>
        <w:t>未认定最终侵权。</w:t>
      </w:r>
      <w:r>
        <w:rPr>
          <w:rFonts w:ascii="Microsoft YaHei" w:hAnsi="Microsoft YaHei" w:eastAsia="Microsoft YaHei"/>
          <w:b w:val="0"/>
          <w:i w:val="0"/>
          <w:sz w:val="21"/>
        </w:rPr>
        <w:t>侵权要件（如原创性要素之复制、实质相似之司法认定、第三方来源抗辩等）本案均未审理；地区法院当初即因合理使用抗辩成立而未触及侵权实体。（Gorsuch 协同 slip op. 5–6；PDF 第50–51页）</w:t>
      </w:r>
    </w:p>
    <w:p>
      <w:pPr>
        <w:pStyle w:val="ListBullet"/>
        <w:spacing w:after="60"/>
      </w:pPr>
      <w:r>
        <w:rPr>
          <w:rFonts w:ascii="Microsoft YaHei" w:hAnsi="Microsoft YaHei" w:eastAsia="Microsoft YaHei"/>
          <w:b/>
          <w:i w:val="0"/>
          <w:sz w:val="21"/>
        </w:rPr>
        <w:t>未重审第二、三、四因素。</w:t>
      </w:r>
      <w:r>
        <w:rPr>
          <w:rFonts w:ascii="Microsoft YaHei" w:hAnsi="Microsoft YaHei" w:eastAsia="Microsoft YaHei"/>
          <w:b w:val="0"/>
          <w:i w:val="0"/>
          <w:sz w:val="21"/>
        </w:rPr>
        <w:t>四因素须整体权衡（多数意见引 Campbell，slip op. 38），本院仅确认第一因素与第二巡回一致。</w:t>
      </w:r>
    </w:p>
    <w:p>
      <w:pPr>
        <w:pStyle w:val="ListBullet"/>
        <w:spacing w:after="60"/>
      </w:pPr>
      <w:r>
        <w:rPr>
          <w:rFonts w:ascii="Microsoft YaHei" w:hAnsi="Microsoft YaHei" w:eastAsia="Microsoft YaHei"/>
          <w:b/>
          <w:i w:val="0"/>
          <w:sz w:val="21"/>
        </w:rPr>
        <w:t>未处理非营利/教学用途。</w:t>
      </w:r>
      <w:r>
        <w:rPr>
          <w:rFonts w:ascii="Microsoft YaHei" w:hAnsi="Microsoft YaHei" w:eastAsia="Microsoft YaHei"/>
          <w:b w:val="0"/>
          <w:i w:val="0"/>
          <w:sz w:val="21"/>
        </w:rPr>
        <w:t>多数意见仅在脚注中说明：若 AWF 的用途『纯粹为了教学目的，那显然会影响分析』（Had AWF's use been solely for teaching purposes, that clearly would affect the analysis）——这是『分析会不同』的说明，不是对该用途的裁判。（多数意见 slip op. 21 n.10；PDF 第27页）</w:t>
      </w:r>
    </w:p>
    <w:p>
      <w:pPr>
        <w:spacing w:after="120"/>
      </w:pPr>
      <w:r>
        <w:rPr>
          <w:rFonts w:ascii="Microsoft YaHei" w:hAnsi="Microsoft YaHei" w:eastAsia="Microsoft YaHei"/>
          <w:b/>
          <w:i w:val="0"/>
          <w:color w:val="833C00"/>
          <w:sz w:val="21"/>
        </w:rPr>
        <w:t>方法论提示（研究员分析）：</w:t>
      </w:r>
      <w:r>
        <w:rPr>
          <w:rFonts w:ascii="Microsoft YaHei" w:hAnsi="Microsoft YaHei" w:eastAsia="Microsoft YaHei"/>
          <w:b w:val="0"/>
          <w:i w:val="0"/>
          <w:sz w:val="21"/>
        </w:rPr>
        <w:t>Syllabus 首页载明其『不构成法院意见的一部分』；本备忘录引用 Holding 时以多数意见正文为准。协同意见与异议均无裁判效力，下文引用时一律标明。</w:t>
      </w:r>
    </w:p>
    <w:p>
      <w:pPr>
        <w:pStyle w:val="Heading1"/>
      </w:pPr>
      <w:r>
        <w:t>三、纠正误解①：『只要有新的艺术表达就能放心授权』</w:t>
      </w:r>
    </w:p>
    <w:p>
      <w:pPr>
        <w:spacing w:after="120"/>
      </w:pPr>
      <w:r>
        <w:rPr>
          <w:rFonts w:ascii="Microsoft YaHei" w:hAnsi="Microsoft YaHei" w:eastAsia="Microsoft YaHei"/>
          <w:b w:val="0"/>
          <w:sz w:val="21"/>
        </w:rPr>
        <w:t>这一读法把 Campbell 的『新表达、新意义、新讯息』压缩成了一张通行证。多数意见用了整节篇幅拒绝这种压缩，其推理对授权审查有直接操作意义：</w:t>
      </w:r>
    </w:p>
    <w:p>
      <w:pPr>
        <w:pStyle w:val="ListBullet"/>
        <w:spacing w:after="60"/>
      </w:pPr>
      <w:r>
        <w:rPr>
          <w:rFonts w:ascii="Microsoft YaHei" w:hAnsi="Microsoft YaHei" w:eastAsia="Microsoft YaHei"/>
          <w:b/>
          <w:i w:val="0"/>
          <w:sz w:val="21"/>
        </w:rPr>
        <w:t>新表达只是相关证据，不是结论。</w:t>
      </w:r>
      <w:r>
        <w:rPr>
          <w:rFonts w:ascii="Microsoft YaHei" w:hAnsi="Microsoft YaHei" w:eastAsia="Microsoft YaHei"/>
          <w:b w:val="0"/>
          <w:i w:val="0"/>
          <w:sz w:val="21"/>
        </w:rPr>
        <w:t>『Campbell 不能被读作：§107(1) 有利于任何增添了某种新表达、意义或讯息的使用』，否则『变革性使用』会吞噬 §101 定义的衍生作品专有权——因为音乐改编、影视改编、续集、衍生剧等『recast, transformed, or adapted』的作品几乎都添加了某种新表达。（多数意见 slip op. 28–29；PDF 第34–35页）换言之：『构成衍生作品』与『构成变革性使用』之间的差额，才是第一因素真正度量的东西；转化程度必须超过成为 derivative 所需的程度。（多数意见 slip op. 16–17；PDF 第22–23页）</w:t>
      </w:r>
    </w:p>
    <w:p>
      <w:pPr>
        <w:pStyle w:val="ListBullet"/>
        <w:spacing w:after="60"/>
      </w:pPr>
      <w:r>
        <w:rPr>
          <w:rFonts w:ascii="Microsoft YaHei" w:hAnsi="Microsoft YaHei" w:eastAsia="Microsoft YaHei"/>
          <w:b/>
          <w:i w:val="0"/>
          <w:sz w:val="21"/>
        </w:rPr>
        <w:t>审查对象是『使用』，不是『作品』。</w:t>
      </w:r>
      <w:r>
        <w:rPr>
          <w:rFonts w:ascii="Microsoft YaHei" w:hAnsi="Microsoft YaHei" w:eastAsia="Microsoft YaHei"/>
          <w:b w:val="0"/>
          <w:i w:val="0"/>
          <w:sz w:val="21"/>
        </w:rPr>
        <w:t>合理使用按被控侵权的具体使用逐一评估：『同样的复制，用于一种目的可能是 fair，用于另一种目的则可能不是。』（多数意见 slip op. 20；PDF 第26页）本案最具教学价值的例证是多数意见自己举的 Warhol《金宝汤罐》：画作把广告 logo 用于对消费主义的艺术评论，目的与『为汤做广告』正交、且评论直接指向该 logo，故第一因素分析完全不同；但多数意见随即警告：『如果 AWF 把 Soup Cans 授权给一家汤品公司当 logo，情况可能就不同了』——哪怕作品本身再有名、再『变革』。（多数意见 slip op. 26–27 及 n.15；PDF 第32–33页）对委员会而言，这意味着：作品清单上的『艺术史地位』不能替代对每一笔交易的用途审查。</w:t>
      </w:r>
    </w:p>
    <w:p>
      <w:pPr>
        <w:pStyle w:val="ListBullet"/>
        <w:spacing w:after="60"/>
      </w:pPr>
      <w:r>
        <w:rPr>
          <w:rFonts w:ascii="Microsoft YaHei" w:hAnsi="Microsoft YaHei" w:eastAsia="Microsoft YaHei"/>
          <w:b/>
          <w:i w:val="0"/>
          <w:sz w:val="21"/>
        </w:rPr>
        <w:t>『帮助传达新讯息』不等于正当化。</w:t>
      </w:r>
      <w:r>
        <w:rPr>
          <w:rFonts w:ascii="Microsoft YaHei" w:hAnsi="Microsoft YaHei" w:eastAsia="Microsoft YaHei"/>
          <w:b w:val="0"/>
          <w:i w:val="0"/>
          <w:sz w:val="21"/>
        </w:rPr>
        <w:t>多数意见点名：复制照片『因为这样做有助于传达新意义或讯息』是不够的（Copying might have been helpful to convey a new meaning or message. It often is. But that does not suffice under the first factor.）；合理使用是肯定性抗辩，举证责任在使用人一方，须给出『我可以做得更好』之外的理由。（多数意见 slip op. 34–35 及 n.21；PDF 第40–41页）</w:t>
      </w:r>
    </w:p>
    <w:p>
      <w:pPr>
        <w:pStyle w:val="ListBullet"/>
        <w:spacing w:after="60"/>
      </w:pPr>
      <w:r>
        <w:rPr>
          <w:rFonts w:ascii="Microsoft YaHei" w:hAnsi="Microsoft YaHei" w:eastAsia="Microsoft YaHei"/>
          <w:b/>
          <w:i w:val="0"/>
          <w:sz w:val="21"/>
        </w:rPr>
        <w:t>主观意图与艺评不进法庭。</w:t>
      </w:r>
      <w:r>
        <w:rPr>
          <w:rFonts w:ascii="Microsoft YaHei" w:hAnsi="Microsoft YaHei" w:eastAsia="Microsoft YaHei"/>
          <w:b w:val="0"/>
          <w:i w:val="0"/>
          <w:sz w:val="21"/>
        </w:rPr>
        <w:t>第一因素是『对用户拿原作做了什么』的客观调查，不探究艺术家主观意图，也不采纳艺评家或法官对作品意义/价值的个人印象（引 Bleistein：法院不应充当作品价值的最终裁判者）。（多数意见 slip op. 31–33 及 n.19；PDF 第37–39页）委员会内部的艺术判断（『这件明显是变革性的』）在法律审查中不具证明力，可证明的是用途、语境与正当化。</w:t>
      </w:r>
    </w:p>
    <w:p>
      <w:pPr>
        <w:spacing w:after="120"/>
      </w:pPr>
      <w:r>
        <w:rPr>
          <w:rFonts w:ascii="Microsoft YaHei" w:hAnsi="Microsoft YaHei" w:eastAsia="Microsoft YaHei"/>
          <w:b/>
          <w:i w:val="0"/>
          <w:color w:val="833C00"/>
          <w:sz w:val="21"/>
        </w:rPr>
        <w:t>对审查协议的落地（研究员分析）：</w:t>
      </w:r>
      <w:r>
        <w:rPr>
          <w:rFonts w:ascii="Microsoft YaHei" w:hAnsi="Microsoft YaHei" w:eastAsia="Microsoft YaHei"/>
          <w:b w:val="0"/>
          <w:i w:val="0"/>
          <w:sz w:val="21"/>
        </w:rPr>
        <w:t>今后每一份授权申请应回答四个问题——(1) 这一次使用到底是什么（媒介、载体、发布场景、受众）？(2) 它与底层作品权利人的典型授权用途是否相同或高度相似？(3) 商业性有多强（收费、营销、衍生品）？(4) 有无独立正当化——尤其是否『指向/target』底层作品本身（评论、批评、戏仿），或复制是否为达成新目的所合理必需？仅当 (2) 答案是否、或 (4) 有强答案时，才可考虑无许可放行。</w:t>
      </w:r>
    </w:p>
    <w:p>
      <w:pPr>
        <w:pStyle w:val="Heading1"/>
      </w:pPr>
      <w:r>
        <w:t>四、纠正误解②：『判决已经禁止 Prince Series 作品的一切再利用』</w:t>
      </w:r>
    </w:p>
    <w:p>
      <w:pPr>
        <w:spacing w:after="120"/>
      </w:pPr>
      <w:r>
        <w:rPr>
          <w:rFonts w:ascii="Microsoft YaHei" w:hAnsi="Microsoft YaHei" w:eastAsia="Microsoft YaHei"/>
          <w:b w:val="0"/>
          <w:sz w:val="21"/>
        </w:rPr>
        <w:t>这一读法在三处与判决文本冲突：</w:t>
      </w:r>
    </w:p>
    <w:p>
      <w:pPr>
        <w:pStyle w:val="ListBullet"/>
        <w:spacing w:after="60"/>
      </w:pPr>
      <w:r>
        <w:rPr>
          <w:rFonts w:ascii="Microsoft YaHei" w:hAnsi="Microsoft YaHei" w:eastAsia="Microsoft YaHei"/>
          <w:b/>
          <w:i w:val="0"/>
          <w:sz w:val="21"/>
        </w:rPr>
        <w:t>文本明示保留。</w:t>
      </w:r>
      <w:r>
        <w:rPr>
          <w:rFonts w:ascii="Microsoft YaHei" w:hAnsi="Microsoft YaHei" w:eastAsia="Microsoft YaHei"/>
          <w:b w:val="0"/>
          <w:i w:val="0"/>
          <w:sz w:val="21"/>
        </w:rPr>
        <w:t>『本院对任何 Prince Series 原作的创作、展示或出售不表达意见。』（多数意见 slip op. 21；PDF 第27页）判决书 Appendix 还完整刊印了 16 件 Prince Series（14 张丝印＋2 张铅笔素描）的图示——判决没有、也不可能『禁止』这些作品的存在或一切利用。</w:t>
      </w:r>
    </w:p>
    <w:p>
      <w:pPr>
        <w:pStyle w:val="ListBullet"/>
        <w:spacing w:after="60"/>
      </w:pPr>
      <w:r>
        <w:rPr>
          <w:rFonts w:ascii="Microsoft YaHei" w:hAnsi="Microsoft YaHei" w:eastAsia="Microsoft YaHei"/>
          <w:b/>
          <w:i w:val="0"/>
          <w:sz w:val="21"/>
        </w:rPr>
        <w:t>诉的范围本来就窄。</w:t>
      </w:r>
      <w:r>
        <w:rPr>
          <w:rFonts w:ascii="Microsoft YaHei" w:hAnsi="Microsoft YaHei" w:eastAsia="Microsoft YaHei"/>
          <w:b w:val="0"/>
          <w:i w:val="0"/>
          <w:sz w:val="21"/>
        </w:rPr>
        <w:t>AWF 曾请求覆盖原作本身的确认判决，但 Goldsmith 已放弃除 2016 年授权外的请求（仅保留对该授权及『类似商业授权』的前瞻性救济）。（多数意见 slip op. 21 n.9；PDF 第27页）第二巡回的 Jacobs 法官在协同中亦强调：上诉法院的 holding『并未考虑、更未决定』侵权是否及于 Prince Series 原作本身，唯一系争的是商业授权。（判决转述，多数意见 slip op. 11–12；PDF 第17–18页）</w:t>
      </w:r>
    </w:p>
    <w:p>
      <w:pPr>
        <w:pStyle w:val="ListBullet"/>
        <w:spacing w:after="60"/>
      </w:pPr>
      <w:r>
        <w:rPr>
          <w:rFonts w:ascii="Microsoft YaHei" w:hAnsi="Microsoft YaHei" w:eastAsia="Microsoft YaHei"/>
          <w:b/>
          <w:i w:val="0"/>
          <w:sz w:val="21"/>
        </w:rPr>
        <w:t>『维持上诉判决』≠『侵权成立』。</w:t>
      </w:r>
      <w:r>
        <w:rPr>
          <w:rFonts w:ascii="Microsoft YaHei" w:hAnsi="Microsoft YaHei" w:eastAsia="Microsoft YaHei"/>
          <w:b w:val="0"/>
          <w:i w:val="0"/>
          <w:sz w:val="21"/>
        </w:rPr>
        <w:t>本院维持的是第二巡回关于第一因素的判断；Gorsuch 协同明确指出本院未判侵权实体。（Gorsuch 协同 slip op. 5；PDF 第50页）</w:t>
      </w:r>
    </w:p>
    <w:p>
      <w:pPr>
        <w:spacing w:after="120"/>
      </w:pPr>
      <w:r>
        <w:rPr>
          <w:rFonts w:ascii="Microsoft YaHei" w:hAnsi="Microsoft YaHei" w:eastAsia="Microsoft YaHei"/>
          <w:b/>
          <w:i w:val="0"/>
          <w:color w:val="C00000"/>
          <w:sz w:val="21"/>
        </w:rPr>
        <w:t>但误解②有一个正确的内核，必须保留：</w:t>
      </w:r>
      <w:r>
        <w:rPr>
          <w:rFonts w:ascii="Microsoft YaHei" w:hAnsi="Microsoft YaHei" w:eastAsia="Microsoft YaHei"/>
          <w:b w:val="0"/>
          <w:i w:val="0"/>
          <w:sz w:val="21"/>
        </w:rPr>
        <w:t>Goldsmith 保留了对『类似商业授权』的前瞻性救济请求（多数意见 slip op. 21 n.9）。因此，判决不禁止一切再利用，但『与 2016 年 Condé Nast 交易同类的用途』——把 Prince Series 图像授权给杂志/出版方、用作关于肖像主体的封面或配图——已被本判决直接定性为第一因素不利，且面临权利人的前瞻性主张。委员会若把误解②纠正过头、对同类交易放行，将是另一种错误。</w:t>
      </w:r>
    </w:p>
    <w:p>
      <w:pPr>
        <w:spacing w:after="120"/>
      </w:pPr>
      <w:r>
        <w:rPr>
          <w:rFonts w:ascii="Microsoft YaHei" w:hAnsi="Microsoft YaHei" w:eastAsia="Microsoft YaHei"/>
          <w:b w:val="0"/>
          <w:sz w:val="21"/>
        </w:rPr>
        <w:t>还有一个容易被误读的边界事实：AWF 已不占有 Prince Series 原作（12 件已售予藏家与画廊，4 件交匹兹堡 Andy Warhol 博物馆托管），但主张仍享有其版权。（多数意见 slip op. 5 及 n.2；PDF 第11页）实物所有权/占有与版权分属不同主体——凡涉及原作展示、出售、出借的审查，都必须同时查两条权利链（详见 5.2）。</w:t>
      </w:r>
    </w:p>
    <w:p>
      <w:pPr>
        <w:pStyle w:val="Heading1"/>
      </w:pPr>
      <w:r>
        <w:t>五、三类用途的逐项分析与行动建议</w:t>
      </w:r>
    </w:p>
    <w:p>
      <w:pPr>
        <w:pStyle w:val="Heading2"/>
      </w:pPr>
      <w:r>
        <w:t>5.1 用途一：2016 年 Orange Prince 杂志授权（本案系争用途）</w:t>
      </w:r>
    </w:p>
    <w:p>
      <w:pPr>
        <w:spacing w:after="120"/>
      </w:pPr>
      <w:r>
        <w:rPr>
          <w:rFonts w:ascii="Microsoft YaHei" w:hAnsi="Microsoft YaHei" w:eastAsia="Microsoft YaHei"/>
          <w:b w:val="0"/>
          <w:sz w:val="21"/>
        </w:rPr>
        <w:t>判决已定：就该具体授权，第一因素不利于 AWF；四因素中其余三项在最高法院未被争议，维持上诉法院『均有利于 Goldsmith』的认定（多数意见 slip op. 38；PDF 第44页）。本院未判最终侵权责任，该问题属下级法院后续程序，本备忘录不作预测，亦不虚构任何和解、赔偿或当事人反应。</w:t>
      </w:r>
    </w:p>
    <w:p>
      <w:pPr>
        <w:spacing w:after="120"/>
      </w:pPr>
      <w:r>
        <w:rPr>
          <w:rFonts w:ascii="Microsoft YaHei" w:hAnsi="Microsoft YaHei" w:eastAsia="Microsoft YaHei"/>
          <w:b w:val="0"/>
          <w:sz w:val="21"/>
        </w:rPr>
        <w:t>对委员会的意义（研究员分析）：这一用途是『判例事实』而非『待决事项』。它的价值在于充当同类交易的对照模板。今后凡出现结构相同的申请——把衍生作品图像授权给出版方，用作关于底层作品同一主体的杂志封面/插图，且收取许可费——应按本判决直接推定第一因素不利：</w:t>
      </w:r>
    </w:p>
    <w:p>
      <w:pPr>
        <w:pStyle w:val="ListBullet"/>
        <w:spacing w:after="60"/>
      </w:pPr>
      <w:r>
        <w:rPr>
          <w:rFonts w:ascii="Microsoft YaHei" w:hAnsi="Microsoft YaHei" w:eastAsia="Microsoft YaHei"/>
          <w:b w:val="0"/>
          <w:i w:val="0"/>
          <w:sz w:val="21"/>
        </w:rPr>
        <w:t>默认路径：取得底层权利人（如 Goldsmith 类摄影师/代理机构）许可并支付费用、给予署名（对照：Condé Nast 特刊是各家中唯一未署名摄影师的，多数意见 slip op. 7；PDF 第13页）；</w:t>
      </w:r>
    </w:p>
    <w:p>
      <w:pPr>
        <w:pStyle w:val="ListBullet"/>
        <w:spacing w:after="60"/>
      </w:pPr>
      <w:r>
        <w:rPr>
          <w:rFonts w:ascii="Microsoft YaHei" w:hAnsi="Microsoft YaHei" w:eastAsia="Microsoft YaHei"/>
          <w:b w:val="0"/>
          <w:i w:val="0"/>
          <w:sz w:val="21"/>
        </w:rPr>
        <w:t>无法或拒绝取得许可时：不得以『作品有艺术价值/有新表达』为由放行；只有当用途语境实质不同（例如多数意见 n.12 提示的『图像出现在艺术杂志中、配关于 Warhol 本人的文章』，分析可能不同——多数意见 slip op. 24 n.12；PDF 第30页）或存在指向底层作品的评论/批评时，才提交外部律师作个案评估；</w:t>
      </w:r>
    </w:p>
    <w:p>
      <w:pPr>
        <w:pStyle w:val="ListBullet"/>
        <w:spacing w:after="60"/>
      </w:pPr>
      <w:r>
        <w:rPr>
          <w:rFonts w:ascii="Microsoft YaHei" w:hAnsi="Microsoft YaHei" w:eastAsia="Microsoft YaHei"/>
          <w:b w:val="0"/>
          <w:i w:val="0"/>
          <w:sz w:val="21"/>
        </w:rPr>
        <w:t>风险登记：此类交易在诉讼中面临权利人基于本判决及前瞻性救济请求的主张，机构应假定第一因素抗辩不可用。</w:t>
      </w:r>
    </w:p>
    <w:p>
      <w:pPr>
        <w:pStyle w:val="Heading2"/>
      </w:pPr>
      <w:r>
        <w:t>5.2 用途二：Prince Series 原作的创作、展示与出售</w:t>
      </w:r>
    </w:p>
    <w:p>
      <w:pPr>
        <w:spacing w:after="120"/>
      </w:pPr>
      <w:r>
        <w:rPr>
          <w:rFonts w:ascii="Microsoft YaHei" w:hAnsi="Microsoft YaHei" w:eastAsia="Microsoft YaHei"/>
          <w:b w:val="0"/>
          <w:sz w:val="21"/>
        </w:rPr>
        <w:t>判决对三者均未表态（多数意见 slip op. 21；PDF 第27页），因此委员会既不能引用本判决为其放行，也不能引用本判决予以禁止。可作的判断是『审查框架』而非『结论』：</w:t>
      </w:r>
    </w:p>
    <w:p>
      <w:pPr>
        <w:pStyle w:val="ListBullet"/>
        <w:spacing w:after="60"/>
      </w:pPr>
      <w:r>
        <w:rPr>
          <w:rFonts w:ascii="Microsoft YaHei" w:hAnsi="Microsoft YaHei" w:eastAsia="Microsoft YaHei"/>
          <w:b/>
          <w:i w:val="0"/>
          <w:sz w:val="21"/>
        </w:rPr>
        <w:t>创作（历史行为）：</w:t>
      </w:r>
      <w:r>
        <w:rPr>
          <w:rFonts w:ascii="Microsoft YaHei" w:hAnsi="Microsoft YaHei" w:eastAsia="Microsoft YaHei"/>
          <w:b w:val="0"/>
          <w:i w:val="0"/>
          <w:sz w:val="21"/>
        </w:rPr>
        <w:t>1984 年 Vanity Fair 那件紫色丝印系在 Goldsmith 明确许可下创作（『artist reference』许可，限一次刊登，$400＋署名，『No other usage right granted』；多数意见 slip op. 3；PDF 第9页）；其余 15 件的创作合法性未经任何法院裁判。委员会无需也无法就 1984 年的历史创作作出现行决定；需要决定的是当下交易是否依赖『当年创作合法/构成合理使用』这一未经裁判的前提。</w:t>
      </w:r>
    </w:p>
    <w:p>
      <w:pPr>
        <w:pStyle w:val="ListBullet"/>
        <w:spacing w:after="60"/>
      </w:pPr>
      <w:r>
        <w:rPr>
          <w:rFonts w:ascii="Microsoft YaHei" w:hAnsi="Microsoft YaHei" w:eastAsia="Microsoft YaHei"/>
          <w:b/>
          <w:i w:val="0"/>
          <w:sz w:val="21"/>
        </w:rPr>
        <w:t>展示：</w:t>
      </w:r>
      <w:r>
        <w:rPr>
          <w:rFonts w:ascii="Microsoft YaHei" w:hAnsi="Microsoft YaHei" w:eastAsia="Microsoft YaHei"/>
          <w:b w:val="0"/>
          <w:i w:val="0"/>
          <w:sz w:val="21"/>
        </w:rPr>
        <w:t>法律结构上，公开展示 Prince Series 图像可能同时触及 Goldsmith 对底层照片的公开展示权（§106(5)，结合 §101 对 display／publicly 的定义：向公众开放场所展示，或向公众传播）与 AWF 对衍生作品主张的版权。本判决未审理展示权问题。Gorsuch 协同的假设——『若 Foundation 是在非营利博物馆展示 Warhol 的 Prince 图像……该使用的目的与性质很可能指向合理使用』（Gorsuch 协同 slip op. 6；PDF 第51页）——方向上有参考价值，但属协同意见中的假设性表述（且未分析其余三因素），不得当作已决规则使用。</w:t>
      </w:r>
    </w:p>
    <w:p>
      <w:pPr>
        <w:pStyle w:val="ListBullet"/>
        <w:spacing w:after="60"/>
      </w:pPr>
      <w:r>
        <w:rPr>
          <w:rFonts w:ascii="Microsoft YaHei" w:hAnsi="Microsoft YaHei" w:eastAsia="Microsoft YaHei"/>
          <w:b/>
          <w:i w:val="0"/>
          <w:sz w:val="21"/>
        </w:rPr>
        <w:t>出售：</w:t>
      </w:r>
      <w:r>
        <w:rPr>
          <w:rFonts w:ascii="Microsoft YaHei" w:hAnsi="Microsoft YaHei" w:eastAsia="Microsoft YaHei"/>
          <w:b w:val="0"/>
          <w:i w:val="0"/>
          <w:sz w:val="21"/>
        </w:rPr>
        <w:t>涉及分发权（§106(3)）；本判决未处理。实物已售出 12 件的事实不解决版权问题（占有与版权分离，多数意见 slip op. 5 n.2）。是否有首次销售原则（§109）等其他法定限制可援引，因该条款未随附于本包材料，本备忘录不予援引、不作评估，列为法律研究缺口。</w:t>
      </w:r>
    </w:p>
    <w:p>
      <w:pPr>
        <w:spacing w:after="120"/>
      </w:pPr>
      <w:r>
        <w:rPr>
          <w:rFonts w:ascii="Microsoft YaHei" w:hAnsi="Microsoft YaHei" w:eastAsia="Microsoft YaHei"/>
          <w:b w:val="0"/>
          <w:sz w:val="21"/>
        </w:rPr>
        <w:t>行动建议（研究员分析）：对任何涉及 Prince Series 原作（实物或图像）的展示、出借、出售、图录复制申请：(1) 先完成双线权利链核查（AWF 主张的衍生作品版权＋Goldsmith 底层照片权利＋实物所有权人）；(2) 按 5.3 的用途导向问题清单逐项记录用途语境；(3) 凡最终落入『杂志/出版配图式商业授权』的，回到 5.1 高风险路径；(4) 其余情形个案评估，评估记录存档备查。</w:t>
      </w:r>
    </w:p>
    <w:p>
      <w:pPr>
        <w:pStyle w:val="Heading2"/>
      </w:pPr>
      <w:r>
        <w:t>5.3 用途三：非营利博物馆教学展示设想（不能下最终结论）</w:t>
      </w:r>
    </w:p>
    <w:p>
      <w:pPr>
        <w:spacing w:after="120"/>
      </w:pPr>
      <w:r>
        <w:rPr>
          <w:rFonts w:ascii="Microsoft YaHei" w:hAnsi="Microsoft YaHei" w:eastAsia="Microsoft YaHei"/>
          <w:b w:val="0"/>
          <w:sz w:val="21"/>
        </w:rPr>
        <w:t>委员会目前只有用途设想，没有完整作品清单、权利链、展示方式、收费与许可资料。本备忘录不替委员会补造这些事实，因此不给出『可以/不可以展出』的结论。能负责任地给出的是：判决划出的方向、有先后顺序的资料请求、以及每项资料对应的决策条件。</w:t>
      </w:r>
    </w:p>
    <w:p>
      <w:pPr>
        <w:spacing w:after="120"/>
      </w:pPr>
      <w:r>
        <w:rPr>
          <w:rFonts w:ascii="Microsoft YaHei" w:hAnsi="Microsoft YaHei" w:eastAsia="Microsoft YaHei"/>
          <w:b/>
          <w:i w:val="0"/>
          <w:color w:val="833C00"/>
          <w:sz w:val="21"/>
        </w:rPr>
        <w:t>判决划出的方向（区分效力等级）：</w:t>
      </w:r>
    </w:p>
    <w:p>
      <w:pPr>
        <w:pStyle w:val="ListBullet"/>
        <w:spacing w:after="60"/>
      </w:pPr>
      <w:r>
        <w:rPr>
          <w:rFonts w:ascii="Microsoft YaHei" w:hAnsi="Microsoft YaHei" w:eastAsia="Microsoft YaHei"/>
          <w:b/>
          <w:i w:val="0"/>
          <w:sz w:val="21"/>
        </w:rPr>
        <w:t>binding：</w:t>
      </w:r>
      <w:r>
        <w:rPr>
          <w:rFonts w:ascii="Microsoft YaHei" w:hAnsi="Microsoft YaHei" w:eastAsia="Microsoft YaHei"/>
          <w:b w:val="0"/>
          <w:i w:val="0"/>
          <w:sz w:val="21"/>
        </w:rPr>
        <w:t>§107 前言把 teaching（含课堂多份复制）、scholarship、research 列为例示目的（法条原文，§107）；多数意见承认：若用途『纯粹为了教学』，分析会显然不同（slip op. 21 n.10），且引 Campbell 区分『把作品用于广告产品』与『为出售而演出的戏仿、更不用说学生在校的一次性演出』（slip op. 20；PDF 第26页）；多数意见同时引 1976 年众院报告确认商业/非营利性质『虽非结论性，但应与其他因素一并权衡』（slip op. 18 n.6；PDF 第24页）。</w:t>
      </w:r>
    </w:p>
    <w:p>
      <w:pPr>
        <w:pStyle w:val="ListBullet"/>
        <w:spacing w:after="60"/>
      </w:pPr>
      <w:r>
        <w:rPr>
          <w:rFonts w:ascii="Microsoft YaHei" w:hAnsi="Microsoft YaHei" w:eastAsia="Microsoft YaHei"/>
          <w:b/>
          <w:i w:val="0"/>
          <w:sz w:val="21"/>
        </w:rPr>
        <w:t>非 binding（协同）：</w:t>
      </w:r>
      <w:r>
        <w:rPr>
          <w:rFonts w:ascii="Microsoft YaHei" w:hAnsi="Microsoft YaHei" w:eastAsia="Microsoft YaHei"/>
          <w:b w:val="0"/>
          <w:i w:val="0"/>
          <w:sz w:val="21"/>
        </w:rPr>
        <w:t>Gorsuch：非营利博物馆展示『很可能指向合理使用』（slip op. 6；PDF 第51页）。</w:t>
      </w:r>
    </w:p>
    <w:p>
      <w:pPr>
        <w:pStyle w:val="ListBullet"/>
        <w:spacing w:after="60"/>
      </w:pPr>
      <w:r>
        <w:rPr>
          <w:rFonts w:ascii="Microsoft YaHei" w:hAnsi="Microsoft YaHei" w:eastAsia="Microsoft YaHei"/>
          <w:b/>
          <w:i w:val="0"/>
          <w:sz w:val="21"/>
        </w:rPr>
        <w:t>非 binding（异议）：</w:t>
      </w:r>
      <w:r>
        <w:rPr>
          <w:rFonts w:ascii="Microsoft YaHei" w:hAnsi="Microsoft YaHei" w:eastAsia="Microsoft YaHei"/>
          <w:b w:val="0"/>
          <w:i w:val="0"/>
          <w:sz w:val="21"/>
        </w:rPr>
        <w:t>Kagan 异议 n.8：若用于教学目的或在非营利博物馆展示，第一因素『可能得出相反结论』（Kagan 异议 slip op. 25 n.8；PDF 第76页）。值得注意的是，协同与异议在此罕见地同向——但两者都不是裁判，且都未分析第二、三、四因素。</w:t>
      </w:r>
    </w:p>
    <w:p>
      <w:pPr>
        <w:spacing w:after="120"/>
      </w:pPr>
      <w:r>
        <w:rPr>
          <w:rFonts w:ascii="Microsoft YaHei" w:hAnsi="Microsoft YaHei" w:eastAsia="Microsoft YaHei"/>
          <w:b w:val="0"/>
          <w:sz w:val="21"/>
        </w:rPr>
        <w:t>因此，方向性判断（研究员分析，非结论）是：纯非营利教学展示的第一因素前景明显好于用途一；但『非营利/教学』不是免罪符——多数意见的总括规则（slip op. 20）仍要求逐用途核查目的差异与正当化，且第四因素（对 Goldsmith 类权利人授权市场的影响）在上诉审中曾被认定不利于 AWF（判决转述，多数意见 slip op. 11；PDF 第17页），教学展示是否落入同一市场替代逻辑，取决于尚未提供的具体事实。</w:t>
      </w:r>
    </w:p>
    <w:p>
      <w:pPr>
        <w:spacing w:after="120"/>
      </w:pPr>
      <w:r>
        <w:rPr>
          <w:rFonts w:ascii="Microsoft YaHei" w:hAnsi="Microsoft YaHei" w:eastAsia="Microsoft YaHei"/>
          <w:b/>
          <w:sz w:val="21"/>
        </w:rPr>
        <w:t>有先后顺序的资料请求与决策条件（与 legal_review.xlsx『5_补证事项』一致）：</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567"/>
            <w:shd w:val="clear" w:fill="1F3864"/>
          </w:tcPr>
          <w:p>
            <w:pPr>
              <w:spacing w:after="40"/>
            </w:pPr>
            <w:r/>
            <w:r>
              <w:rPr>
                <w:rFonts w:ascii="Microsoft YaHei" w:hAnsi="Microsoft YaHei" w:eastAsia="Microsoft YaHei"/>
                <w:b/>
                <w:color w:val="FFFFFF"/>
                <w:sz w:val="19"/>
              </w:rPr>
              <w:t>顺序</w:t>
            </w:r>
          </w:p>
        </w:tc>
        <w:tc>
          <w:tcPr>
            <w:tcW w:type="dxa" w:w="2438"/>
            <w:shd w:val="clear" w:fill="1F3864"/>
          </w:tcPr>
          <w:p>
            <w:pPr>
              <w:spacing w:after="40"/>
            </w:pPr>
            <w:r/>
            <w:r>
              <w:rPr>
                <w:rFonts w:ascii="Microsoft YaHei" w:hAnsi="Microsoft YaHei" w:eastAsia="Microsoft YaHei"/>
                <w:b/>
                <w:color w:val="FFFFFF"/>
                <w:sz w:val="19"/>
              </w:rPr>
              <w:t>需要取得的资料/事实</w:t>
            </w:r>
          </w:p>
        </w:tc>
        <w:tc>
          <w:tcPr>
            <w:tcW w:type="dxa" w:w="2098"/>
            <w:shd w:val="clear" w:fill="1F3864"/>
          </w:tcPr>
          <w:p>
            <w:pPr>
              <w:spacing w:after="40"/>
            </w:pPr>
            <w:r/>
            <w:r>
              <w:rPr>
                <w:rFonts w:ascii="Microsoft YaHei" w:hAnsi="Microsoft YaHei" w:eastAsia="Microsoft YaHei"/>
                <w:b/>
                <w:color w:val="FFFFFF"/>
                <w:sz w:val="19"/>
              </w:rPr>
              <w:t>法律关联</w:t>
            </w:r>
          </w:p>
        </w:tc>
        <w:tc>
          <w:tcPr>
            <w:tcW w:type="dxa" w:w="1644"/>
            <w:shd w:val="clear" w:fill="1F3864"/>
          </w:tcPr>
          <w:p>
            <w:pPr>
              <w:spacing w:after="40"/>
            </w:pPr>
            <w:r/>
            <w:r>
              <w:rPr>
                <w:rFonts w:ascii="Microsoft YaHei" w:hAnsi="Microsoft YaHei" w:eastAsia="Microsoft YaHei"/>
                <w:b/>
                <w:color w:val="FFFFFF"/>
                <w:sz w:val="19"/>
              </w:rPr>
              <w:t>缺失的影响</w:t>
            </w:r>
          </w:p>
        </w:tc>
        <w:tc>
          <w:tcPr>
            <w:tcW w:type="dxa" w:w="2324"/>
            <w:shd w:val="clear" w:fill="1F3864"/>
          </w:tcPr>
          <w:p>
            <w:pPr>
              <w:spacing w:after="40"/>
            </w:pPr>
            <w:r/>
            <w:r>
              <w:rPr>
                <w:rFonts w:ascii="Microsoft YaHei" w:hAnsi="Microsoft YaHei" w:eastAsia="Microsoft YaHei"/>
                <w:b/>
                <w:color w:val="FFFFFF"/>
                <w:sz w:val="19"/>
              </w:rPr>
              <w:t>决策条件（取得后如何判断）</w:t>
            </w:r>
          </w:p>
        </w:tc>
      </w:tr>
      <w:tr>
        <w:tc>
          <w:tcPr>
            <w:tcW w:type="dxa" w:w="567"/>
          </w:tcPr>
          <w:p>
            <w:pPr>
              <w:spacing w:after="40"/>
            </w:pPr>
            <w:r/>
            <w:r>
              <w:rPr>
                <w:rFonts w:ascii="Microsoft YaHei" w:hAnsi="Microsoft YaHei" w:eastAsia="Microsoft YaHei"/>
                <w:b w:val="0"/>
                <w:sz w:val="19"/>
              </w:rPr>
              <w:t>1</w:t>
            </w:r>
          </w:p>
        </w:tc>
        <w:tc>
          <w:tcPr>
            <w:tcW w:type="dxa" w:w="2438"/>
          </w:tcPr>
          <w:p>
            <w:pPr>
              <w:spacing w:after="40"/>
            </w:pPr>
            <w:r/>
            <w:r>
              <w:rPr>
                <w:rFonts w:ascii="Microsoft YaHei" w:hAnsi="Microsoft YaHei" w:eastAsia="Microsoft YaHei"/>
                <w:b w:val="0"/>
                <w:sz w:val="19"/>
              </w:rPr>
              <w:t>锁定『被挑战的具体使用』：展示哪些作品（含 Orange Prince 与否）、由谁展示、面向谁、在什么载体上。</w:t>
            </w:r>
          </w:p>
        </w:tc>
        <w:tc>
          <w:tcPr>
            <w:tcW w:type="dxa" w:w="2098"/>
          </w:tcPr>
          <w:p>
            <w:pPr>
              <w:spacing w:after="40"/>
            </w:pPr>
            <w:r/>
            <w:r>
              <w:rPr>
                <w:rFonts w:ascii="Microsoft YaHei" w:hAnsi="Microsoft YaHei" w:eastAsia="Microsoft YaHei"/>
                <w:b w:val="0"/>
                <w:sz w:val="19"/>
              </w:rPr>
              <w:t>判决方法论：逐用途评估（多数意见 slip op. 20–21；Gorsuch 协同 slip op. 6）。</w:t>
            </w:r>
          </w:p>
        </w:tc>
        <w:tc>
          <w:tcPr>
            <w:tcW w:type="dxa" w:w="1644"/>
          </w:tcPr>
          <w:p>
            <w:pPr>
              <w:spacing w:after="40"/>
            </w:pPr>
            <w:r/>
            <w:r>
              <w:rPr>
                <w:rFonts w:ascii="Microsoft YaHei" w:hAnsi="Microsoft YaHei" w:eastAsia="Microsoft YaHei"/>
                <w:b w:val="0"/>
                <w:sz w:val="19"/>
              </w:rPr>
              <w:t>分析对象不确定，任何因素评估都是空转。</w:t>
            </w:r>
          </w:p>
        </w:tc>
        <w:tc>
          <w:tcPr>
            <w:tcW w:type="dxa" w:w="2324"/>
          </w:tcPr>
          <w:p>
            <w:pPr>
              <w:spacing w:after="40"/>
            </w:pPr>
            <w:r/>
            <w:r>
              <w:rPr>
                <w:rFonts w:ascii="Microsoft YaHei" w:hAnsi="Microsoft YaHei" w:eastAsia="Microsoft YaHei"/>
                <w:b w:val="0"/>
                <w:sz w:val="19"/>
              </w:rPr>
              <w:t>用途一经具体化即进入第 2–7 项；若实为『授权给杂志/出版作关于主体的封面配图』，直接落入 5.1 高风险类别，不再走教学分析。</w:t>
            </w:r>
          </w:p>
        </w:tc>
      </w:tr>
      <w:tr>
        <w:tc>
          <w:tcPr>
            <w:tcW w:type="dxa" w:w="567"/>
          </w:tcPr>
          <w:p>
            <w:pPr>
              <w:spacing w:after="40"/>
            </w:pPr>
            <w:r/>
            <w:r>
              <w:rPr>
                <w:rFonts w:ascii="Microsoft YaHei" w:hAnsi="Microsoft YaHei" w:eastAsia="Microsoft YaHei"/>
                <w:b w:val="0"/>
                <w:sz w:val="19"/>
              </w:rPr>
              <w:t>2</w:t>
            </w:r>
          </w:p>
        </w:tc>
        <w:tc>
          <w:tcPr>
            <w:tcW w:type="dxa" w:w="2438"/>
          </w:tcPr>
          <w:p>
            <w:pPr>
              <w:spacing w:after="40"/>
            </w:pPr>
            <w:r/>
            <w:r>
              <w:rPr>
                <w:rFonts w:ascii="Microsoft YaHei" w:hAnsi="Microsoft YaHei" w:eastAsia="Microsoft YaHei"/>
                <w:b w:val="0"/>
                <w:sz w:val="19"/>
              </w:rPr>
              <w:t>权利链与权利主体：AWF 对拟展作品的版权主张范围；Goldsmith（或其权利承继人）对底层照片的权利；实物所有权/占有现状。</w:t>
            </w:r>
          </w:p>
        </w:tc>
        <w:tc>
          <w:tcPr>
            <w:tcW w:type="dxa" w:w="2098"/>
          </w:tcPr>
          <w:p>
            <w:pPr>
              <w:spacing w:after="40"/>
            </w:pPr>
            <w:r/>
            <w:r>
              <w:rPr>
                <w:rFonts w:ascii="Microsoft YaHei" w:hAnsi="Microsoft YaHei" w:eastAsia="Microsoft YaHei"/>
                <w:b w:val="0"/>
                <w:sz w:val="19"/>
              </w:rPr>
              <w:t>展示可能同时触及 §106(5)（底层照片公开展示权）与衍生作品权利；占有与版权分离（多数意见 slip op. 5 n.2）。</w:t>
            </w:r>
          </w:p>
        </w:tc>
        <w:tc>
          <w:tcPr>
            <w:tcW w:type="dxa" w:w="1644"/>
          </w:tcPr>
          <w:p>
            <w:pPr>
              <w:spacing w:after="40"/>
            </w:pPr>
            <w:r/>
            <w:r>
              <w:rPr>
                <w:rFonts w:ascii="Microsoft YaHei" w:hAnsi="Microsoft YaHei" w:eastAsia="Microsoft YaHei"/>
                <w:b w:val="0"/>
                <w:sz w:val="19"/>
              </w:rPr>
              <w:t>无法确定需要谁的许可、风险敞口归属。</w:t>
            </w:r>
          </w:p>
        </w:tc>
        <w:tc>
          <w:tcPr>
            <w:tcW w:type="dxa" w:w="2324"/>
          </w:tcPr>
          <w:p>
            <w:pPr>
              <w:spacing w:after="40"/>
            </w:pPr>
            <w:r/>
            <w:r>
              <w:rPr>
                <w:rFonts w:ascii="Microsoft YaHei" w:hAnsi="Microsoft YaHei" w:eastAsia="Microsoft YaHei"/>
                <w:b w:val="0"/>
                <w:sz w:val="19"/>
              </w:rPr>
              <w:t>若可取得相关权利人许可→优先走许可路径，无需依赖 fair use；若须依赖 fair use→继续第 3–7 项。</w:t>
            </w:r>
          </w:p>
        </w:tc>
      </w:tr>
      <w:tr>
        <w:tc>
          <w:tcPr>
            <w:tcW w:type="dxa" w:w="567"/>
          </w:tcPr>
          <w:p>
            <w:pPr>
              <w:spacing w:after="40"/>
            </w:pPr>
            <w:r/>
            <w:r>
              <w:rPr>
                <w:rFonts w:ascii="Microsoft YaHei" w:hAnsi="Microsoft YaHei" w:eastAsia="Microsoft YaHei"/>
                <w:b w:val="0"/>
                <w:sz w:val="19"/>
              </w:rPr>
              <w:t>3</w:t>
            </w:r>
          </w:p>
        </w:tc>
        <w:tc>
          <w:tcPr>
            <w:tcW w:type="dxa" w:w="2438"/>
          </w:tcPr>
          <w:p>
            <w:pPr>
              <w:spacing w:after="40"/>
            </w:pPr>
            <w:r/>
            <w:r>
              <w:rPr>
                <w:rFonts w:ascii="Microsoft YaHei" w:hAnsi="Microsoft YaHei" w:eastAsia="Microsoft YaHei"/>
                <w:b w:val="0"/>
                <w:sz w:val="19"/>
              </w:rPr>
              <w:t>展示方式：原作实物 vs 复制图像；是否『publicly』（§101 定义：公众开放场所或向公众传播）；是否上线/数字传播；是否配套课程、讲解、教材。</w:t>
            </w:r>
          </w:p>
        </w:tc>
        <w:tc>
          <w:tcPr>
            <w:tcW w:type="dxa" w:w="2098"/>
          </w:tcPr>
          <w:p>
            <w:pPr>
              <w:spacing w:after="40"/>
            </w:pPr>
            <w:r/>
            <w:r>
              <w:rPr>
                <w:rFonts w:ascii="Microsoft YaHei" w:hAnsi="Microsoft YaHei" w:eastAsia="Microsoft YaHei"/>
                <w:b w:val="0"/>
                <w:sz w:val="19"/>
              </w:rPr>
              <w:t>§106(5)＋§101 display/publicly 界定受控行为；教学语境关联 §107 前言及多数意见 slip op. 21 n.10。</w:t>
            </w:r>
          </w:p>
        </w:tc>
        <w:tc>
          <w:tcPr>
            <w:tcW w:type="dxa" w:w="1644"/>
          </w:tcPr>
          <w:p>
            <w:pPr>
              <w:spacing w:after="40"/>
            </w:pPr>
            <w:r/>
            <w:r>
              <w:rPr>
                <w:rFonts w:ascii="Microsoft YaHei" w:hAnsi="Microsoft YaHei" w:eastAsia="Microsoft YaHei"/>
                <w:b w:val="0"/>
                <w:sz w:val="19"/>
              </w:rPr>
              <w:t>无法区分本案更接近 Gorsuch 假设的『非营利博物馆展示』还是接近商业性传播。</w:t>
            </w:r>
          </w:p>
        </w:tc>
        <w:tc>
          <w:tcPr>
            <w:tcW w:type="dxa" w:w="2324"/>
          </w:tcPr>
          <w:p>
            <w:pPr>
              <w:spacing w:after="40"/>
            </w:pPr>
            <w:r/>
            <w:r>
              <w:rPr>
                <w:rFonts w:ascii="Microsoft YaHei" w:hAnsi="Microsoft YaHei" w:eastAsia="Microsoft YaHei"/>
                <w:b w:val="0"/>
                <w:sz w:val="19"/>
              </w:rPr>
              <w:t>原作实物的教学性陈列且不替代授权市场→第一因素更可能有利；大规模公开传播/商业化利用→风险上升，须重估。</w:t>
            </w:r>
          </w:p>
        </w:tc>
      </w:tr>
      <w:tr>
        <w:tc>
          <w:tcPr>
            <w:tcW w:type="dxa" w:w="567"/>
          </w:tcPr>
          <w:p>
            <w:pPr>
              <w:spacing w:after="40"/>
            </w:pPr>
            <w:r/>
            <w:r>
              <w:rPr>
                <w:rFonts w:ascii="Microsoft YaHei" w:hAnsi="Microsoft YaHei" w:eastAsia="Microsoft YaHei"/>
                <w:b w:val="0"/>
                <w:sz w:val="19"/>
              </w:rPr>
              <w:t>4</w:t>
            </w:r>
          </w:p>
        </w:tc>
        <w:tc>
          <w:tcPr>
            <w:tcW w:type="dxa" w:w="2438"/>
          </w:tcPr>
          <w:p>
            <w:pPr>
              <w:spacing w:after="40"/>
            </w:pPr>
            <w:r/>
            <w:r>
              <w:rPr>
                <w:rFonts w:ascii="Microsoft YaHei" w:hAnsi="Microsoft YaHei" w:eastAsia="Microsoft YaHei"/>
                <w:b w:val="0"/>
                <w:sz w:val="19"/>
              </w:rPr>
              <w:t>收费与商业性：门票、会员、图录与衍生品销售、赞助或商业合作、是否用于机构营利活动。</w:t>
            </w:r>
          </w:p>
        </w:tc>
        <w:tc>
          <w:tcPr>
            <w:tcW w:type="dxa" w:w="2098"/>
          </w:tcPr>
          <w:p>
            <w:pPr>
              <w:spacing w:after="40"/>
            </w:pPr>
            <w:r/>
            <w:r>
              <w:rPr>
                <w:rFonts w:ascii="Microsoft YaHei" w:hAnsi="Microsoft YaHei" w:eastAsia="Microsoft YaHei"/>
                <w:b w:val="0"/>
                <w:sz w:val="19"/>
              </w:rPr>
              <w:t>商业性是第一因素的一个要素、非决定性（多数意见 slip op. 18 及 n.6）。</w:t>
            </w:r>
          </w:p>
        </w:tc>
        <w:tc>
          <w:tcPr>
            <w:tcW w:type="dxa" w:w="1644"/>
          </w:tcPr>
          <w:p>
            <w:pPr>
              <w:spacing w:after="40"/>
            </w:pPr>
            <w:r/>
            <w:r>
              <w:rPr>
                <w:rFonts w:ascii="Microsoft YaHei" w:hAnsi="Microsoft YaHei" w:eastAsia="Microsoft YaHei"/>
                <w:b w:val="0"/>
                <w:sz w:val="19"/>
              </w:rPr>
              <w:t>第一因素中商业性一侧权重无法评估。</w:t>
            </w:r>
          </w:p>
        </w:tc>
        <w:tc>
          <w:tcPr>
            <w:tcW w:type="dxa" w:w="2324"/>
          </w:tcPr>
          <w:p>
            <w:pPr>
              <w:spacing w:after="40"/>
            </w:pPr>
            <w:r/>
            <w:r>
              <w:rPr>
                <w:rFonts w:ascii="Microsoft YaHei" w:hAnsi="Microsoft YaHei" w:eastAsia="Microsoft YaHei"/>
                <w:b w:val="0"/>
                <w:sz w:val="19"/>
              </w:rPr>
              <w:t>纯非营利教学→商业性权重低；伴随显著商品化（图录授权、衍生品、门票营销）→需更强正当化，接近用途一时回到 5.1。</w:t>
            </w:r>
          </w:p>
        </w:tc>
      </w:tr>
      <w:tr>
        <w:tc>
          <w:tcPr>
            <w:tcW w:type="dxa" w:w="567"/>
          </w:tcPr>
          <w:p>
            <w:pPr>
              <w:spacing w:after="40"/>
            </w:pPr>
            <w:r/>
            <w:r>
              <w:rPr>
                <w:rFonts w:ascii="Microsoft YaHei" w:hAnsi="Microsoft YaHei" w:eastAsia="Microsoft YaHei"/>
                <w:b w:val="0"/>
                <w:sz w:val="19"/>
              </w:rPr>
              <w:t>5</w:t>
            </w:r>
          </w:p>
        </w:tc>
        <w:tc>
          <w:tcPr>
            <w:tcW w:type="dxa" w:w="2438"/>
          </w:tcPr>
          <w:p>
            <w:pPr>
              <w:spacing w:after="40"/>
            </w:pPr>
            <w:r/>
            <w:r>
              <w:rPr>
                <w:rFonts w:ascii="Microsoft YaHei" w:hAnsi="Microsoft YaHei" w:eastAsia="Microsoft YaHei"/>
                <w:b w:val="0"/>
                <w:sz w:val="19"/>
              </w:rPr>
              <w:t>目的差异与正当化：展示目的与 Goldsmith 类权利人『杂志编辑授权』典型用途的差异度；是否评论/批评底层照片或名人文化（targeting）；复制是否为达成教学目的所合理必需（如能否以更小尺寸、更少件数达成）。</w:t>
            </w:r>
          </w:p>
        </w:tc>
        <w:tc>
          <w:tcPr>
            <w:tcW w:type="dxa" w:w="2098"/>
          </w:tcPr>
          <w:p>
            <w:pPr>
              <w:spacing w:after="40"/>
            </w:pPr>
            <w:r/>
            <w:r>
              <w:rPr>
                <w:rFonts w:ascii="Microsoft YaHei" w:hAnsi="Microsoft YaHei" w:eastAsia="Microsoft YaHei"/>
                <w:b w:val="0"/>
                <w:sz w:val="19"/>
              </w:rPr>
              <w:t>多数意见总括规则（slip op. 20）；targeting 与『conjuring up』标准（slip op. 17–19、34–35）；Soup Cans 对照（slip op. 26–27）。</w:t>
            </w:r>
          </w:p>
        </w:tc>
        <w:tc>
          <w:tcPr>
            <w:tcW w:type="dxa" w:w="1644"/>
          </w:tcPr>
          <w:p>
            <w:pPr>
              <w:spacing w:after="40"/>
            </w:pPr>
            <w:r/>
            <w:r>
              <w:rPr>
                <w:rFonts w:ascii="Microsoft YaHei" w:hAnsi="Microsoft YaHei" w:eastAsia="Microsoft YaHei"/>
                <w:b w:val="0"/>
                <w:sz w:val="19"/>
              </w:rPr>
              <w:t>第一因素无法定向——这是本案最具决定性的因素。</w:t>
            </w:r>
          </w:p>
        </w:tc>
        <w:tc>
          <w:tcPr>
            <w:tcW w:type="dxa" w:w="2324"/>
          </w:tcPr>
          <w:p>
            <w:pPr>
              <w:spacing w:after="40"/>
            </w:pPr>
            <w:r/>
            <w:r>
              <w:rPr>
                <w:rFonts w:ascii="Microsoft YaHei" w:hAnsi="Microsoft YaHei" w:eastAsia="Microsoft YaHei"/>
                <w:b w:val="0"/>
                <w:sz w:val="19"/>
              </w:rPr>
              <w:t>教学/学术目的＋与商业授权市场用途不同＋（若涉评论）target 得当→第一因素有利；实质仍是『以肖像描绘主体供大众消费』→不利。</w:t>
            </w:r>
          </w:p>
        </w:tc>
      </w:tr>
      <w:tr>
        <w:tc>
          <w:tcPr>
            <w:tcW w:type="dxa" w:w="567"/>
          </w:tcPr>
          <w:p>
            <w:pPr>
              <w:spacing w:after="40"/>
            </w:pPr>
            <w:r/>
            <w:r>
              <w:rPr>
                <w:rFonts w:ascii="Microsoft YaHei" w:hAnsi="Microsoft YaHei" w:eastAsia="Microsoft YaHei"/>
                <w:b w:val="0"/>
                <w:sz w:val="19"/>
              </w:rPr>
              <w:t>6</w:t>
            </w:r>
          </w:p>
        </w:tc>
        <w:tc>
          <w:tcPr>
            <w:tcW w:type="dxa" w:w="2438"/>
          </w:tcPr>
          <w:p>
            <w:pPr>
              <w:spacing w:after="40"/>
            </w:pPr>
            <w:r/>
            <w:r>
              <w:rPr>
                <w:rFonts w:ascii="Microsoft YaHei" w:hAnsi="Microsoft YaHei" w:eastAsia="Microsoft YaHei"/>
                <w:b w:val="0"/>
                <w:sz w:val="19"/>
              </w:rPr>
              <w:t>第二、三因素记录：拟展作品的性质；使用数量与实质性（是否整件展示、是否取用照片『essence』——上诉法院曾如此认定，判决转述 slip op. 11）。</w:t>
            </w:r>
          </w:p>
        </w:tc>
        <w:tc>
          <w:tcPr>
            <w:tcW w:type="dxa" w:w="2098"/>
          </w:tcPr>
          <w:p>
            <w:pPr>
              <w:spacing w:after="40"/>
            </w:pPr>
            <w:r/>
            <w:r>
              <w:rPr>
                <w:rFonts w:ascii="Microsoft YaHei" w:hAnsi="Microsoft YaHei" w:eastAsia="Microsoft YaHei"/>
                <w:b w:val="0"/>
                <w:sz w:val="19"/>
              </w:rPr>
              <w:t>§107(2)(3)；四因素须整体权衡（多数意见 slip op. 38）。</w:t>
            </w:r>
          </w:p>
        </w:tc>
        <w:tc>
          <w:tcPr>
            <w:tcW w:type="dxa" w:w="1644"/>
          </w:tcPr>
          <w:p>
            <w:pPr>
              <w:spacing w:after="40"/>
            </w:pPr>
            <w:r/>
            <w:r>
              <w:rPr>
                <w:rFonts w:ascii="Microsoft YaHei" w:hAnsi="Microsoft YaHei" w:eastAsia="Microsoft YaHei"/>
                <w:b w:val="0"/>
                <w:sz w:val="19"/>
              </w:rPr>
              <w:t>整体权衡记录不完整。</w:t>
            </w:r>
          </w:p>
        </w:tc>
        <w:tc>
          <w:tcPr>
            <w:tcW w:type="dxa" w:w="2324"/>
          </w:tcPr>
          <w:p>
            <w:pPr>
              <w:spacing w:after="40"/>
            </w:pPr>
            <w:r/>
            <w:r>
              <w:rPr>
                <w:rFonts w:ascii="Microsoft YaHei" w:hAnsi="Microsoft YaHei" w:eastAsia="Microsoft YaHei"/>
                <w:b w:val="0"/>
                <w:sz w:val="19"/>
              </w:rPr>
              <w:t>记录在案后并入整体权衡；任何单一因素均不决定性。</w:t>
            </w:r>
          </w:p>
        </w:tc>
      </w:tr>
      <w:tr>
        <w:tc>
          <w:tcPr>
            <w:tcW w:type="dxa" w:w="567"/>
          </w:tcPr>
          <w:p>
            <w:pPr>
              <w:spacing w:after="40"/>
            </w:pPr>
            <w:r/>
            <w:r>
              <w:rPr>
                <w:rFonts w:ascii="Microsoft YaHei" w:hAnsi="Microsoft YaHei" w:eastAsia="Microsoft YaHei"/>
                <w:b w:val="0"/>
                <w:sz w:val="19"/>
              </w:rPr>
              <w:t>7</w:t>
            </w:r>
          </w:p>
        </w:tc>
        <w:tc>
          <w:tcPr>
            <w:tcW w:type="dxa" w:w="2438"/>
          </w:tcPr>
          <w:p>
            <w:pPr>
              <w:spacing w:after="40"/>
            </w:pPr>
            <w:r/>
            <w:r>
              <w:rPr>
                <w:rFonts w:ascii="Microsoft YaHei" w:hAnsi="Microsoft YaHei" w:eastAsia="Microsoft YaHei"/>
                <w:b w:val="0"/>
                <w:sz w:val="19"/>
              </w:rPr>
              <w:t>第四因素与许可市场：展示是否替代底层权利人的编辑授权/衍生授权市场；许可是否可获得、费用与条件；有无拒绝授权先例。</w:t>
            </w:r>
          </w:p>
        </w:tc>
        <w:tc>
          <w:tcPr>
            <w:tcW w:type="dxa" w:w="2098"/>
          </w:tcPr>
          <w:p>
            <w:pPr>
              <w:spacing w:after="40"/>
            </w:pPr>
            <w:r/>
            <w:r>
              <w:rPr>
                <w:rFonts w:ascii="Microsoft YaHei" w:hAnsi="Microsoft YaHei" w:eastAsia="Microsoft YaHei"/>
                <w:b w:val="0"/>
                <w:sz w:val="19"/>
              </w:rPr>
              <w:t>第四因素被称为『最重要』（Gorsuch 协同 slip op. 3–4 引 Harper &amp; Row）；上诉法院曾认定 AWF 商业授权侵蚀 Goldsmith 两类授权市场（判决转述，slip op. 11）。</w:t>
            </w:r>
          </w:p>
        </w:tc>
        <w:tc>
          <w:tcPr>
            <w:tcW w:type="dxa" w:w="1644"/>
          </w:tcPr>
          <w:p>
            <w:pPr>
              <w:spacing w:after="40"/>
            </w:pPr>
            <w:r/>
            <w:r>
              <w:rPr>
                <w:rFonts w:ascii="Microsoft YaHei" w:hAnsi="Microsoft YaHei" w:eastAsia="Microsoft YaHei"/>
                <w:b w:val="0"/>
                <w:sz w:val="19"/>
              </w:rPr>
              <w:t>整体权衡无法完成，低风险行动路径无法确定。</w:t>
            </w:r>
          </w:p>
        </w:tc>
        <w:tc>
          <w:tcPr>
            <w:tcW w:type="dxa" w:w="2324"/>
          </w:tcPr>
          <w:p>
            <w:pPr>
              <w:spacing w:after="40"/>
            </w:pPr>
            <w:r/>
            <w:r>
              <w:rPr>
                <w:rFonts w:ascii="Microsoft YaHei" w:hAnsi="Microsoft YaHei" w:eastAsia="Microsoft YaHei"/>
                <w:b w:val="0"/>
                <w:sz w:val="19"/>
              </w:rPr>
              <w:t>市场影响小且/或许可可低成本取得→优先取得许可、消除争议；市场影响显著且无许可→fair use 依赖度高、风险上升，须外部律师书面意见后方可决定。</w:t>
            </w:r>
          </w:p>
        </w:tc>
      </w:tr>
      <w:tr>
        <w:tc>
          <w:tcPr>
            <w:tcW w:type="dxa" w:w="567"/>
          </w:tcPr>
          <w:p>
            <w:pPr>
              <w:spacing w:after="40"/>
            </w:pPr>
            <w:r/>
            <w:r>
              <w:rPr>
                <w:rFonts w:ascii="Microsoft YaHei" w:hAnsi="Microsoft YaHei" w:eastAsia="Microsoft YaHei"/>
                <w:b w:val="0"/>
                <w:sz w:val="19"/>
              </w:rPr>
              <w:t>8</w:t>
            </w:r>
          </w:p>
        </w:tc>
        <w:tc>
          <w:tcPr>
            <w:tcW w:type="dxa" w:w="2438"/>
          </w:tcPr>
          <w:p>
            <w:pPr>
              <w:spacing w:after="40"/>
            </w:pPr>
            <w:r/>
            <w:r>
              <w:rPr>
                <w:rFonts w:ascii="Microsoft YaHei" w:hAnsi="Microsoft YaHei" w:eastAsia="Microsoft YaHei"/>
                <w:b w:val="0"/>
                <w:sz w:val="19"/>
              </w:rPr>
              <w:t>其他法定限制研究：首次销售原则（§109）及其他 §107–122 条款是否可援引。</w:t>
            </w:r>
          </w:p>
        </w:tc>
        <w:tc>
          <w:tcPr>
            <w:tcW w:type="dxa" w:w="2098"/>
          </w:tcPr>
          <w:p>
            <w:pPr>
              <w:spacing w:after="40"/>
            </w:pPr>
            <w:r/>
            <w:r>
              <w:rPr>
                <w:rFonts w:ascii="Microsoft YaHei" w:hAnsi="Microsoft YaHei" w:eastAsia="Microsoft YaHei"/>
                <w:b w:val="0"/>
                <w:sz w:val="19"/>
              </w:rPr>
              <w:t>合理使用只是多个『escape valve』之一（多数意见 slip op. 37）；但 §109 未随附于本包材料。</w:t>
            </w:r>
          </w:p>
        </w:tc>
        <w:tc>
          <w:tcPr>
            <w:tcW w:type="dxa" w:w="1644"/>
          </w:tcPr>
          <w:p>
            <w:pPr>
              <w:spacing w:after="40"/>
            </w:pPr>
            <w:r/>
            <w:r>
              <w:rPr>
                <w:rFonts w:ascii="Microsoft YaHei" w:hAnsi="Microsoft YaHei" w:eastAsia="Microsoft YaHei"/>
                <w:b w:val="0"/>
                <w:sz w:val="19"/>
              </w:rPr>
              <w:t>该路径暂无法评估——本备忘录不援引未随附法条。</w:t>
            </w:r>
          </w:p>
        </w:tc>
        <w:tc>
          <w:tcPr>
            <w:tcW w:type="dxa" w:w="2324"/>
          </w:tcPr>
          <w:p>
            <w:pPr>
              <w:spacing w:after="40"/>
            </w:pPr>
            <w:r/>
            <w:r>
              <w:rPr>
                <w:rFonts w:ascii="Microsoft YaHei" w:hAnsi="Microsoft YaHei" w:eastAsia="Microsoft YaHei"/>
                <w:b w:val="0"/>
                <w:sz w:val="19"/>
              </w:rPr>
              <w:t>取得权威文本后再评估；在此之前不纳入结论。</w:t>
            </w:r>
          </w:p>
        </w:tc>
      </w:tr>
    </w:tbl>
    <w:p>
      <w:pPr>
        <w:spacing w:after="120"/>
      </w:pPr>
      <w:r>
        <w:rPr>
          <w:rFonts w:ascii="Microsoft YaHei" w:hAnsi="Microsoft YaHei" w:eastAsia="Microsoft YaHei"/>
          <w:b w:val="0"/>
          <w:sz w:val="21"/>
        </w:rPr>
      </w:r>
    </w:p>
    <w:p>
      <w:pPr>
        <w:spacing w:after="120"/>
      </w:pPr>
      <w:r>
        <w:rPr>
          <w:rFonts w:ascii="Microsoft YaHei" w:hAnsi="Microsoft YaHei" w:eastAsia="Microsoft YaHei"/>
          <w:b/>
          <w:sz w:val="21"/>
        </w:rPr>
        <w:t>在按上表完成第 1–7 项（并对第 8 项作出研究安排）之前，对用途三的正确决定是『暂缓授权决定』本身：既不宣布可以展出，也不宣布禁止展出。这不同于搁置——它是有明确触发条件的流程决定。</w:t>
      </w:r>
    </w:p>
    <w:p>
      <w:pPr>
        <w:pStyle w:val="Heading1"/>
      </w:pPr>
      <w:r>
        <w:t>六、用最有力的相反论证检验上述建议</w:t>
      </w:r>
    </w:p>
    <w:p>
      <w:pPr>
        <w:spacing w:after="120"/>
      </w:pPr>
      <w:r>
        <w:rPr>
          <w:rFonts w:ascii="Microsoft YaHei" w:hAnsi="Microsoft YaHei" w:eastAsia="Microsoft YaHei"/>
          <w:b w:val="0"/>
          <w:sz w:val="21"/>
        </w:rPr>
        <w:t>以下把委员会内部两种立场各自最强的法律论证完整陈述，然后说明采纳或不采纳的理由。</w:t>
      </w:r>
    </w:p>
    <w:p>
      <w:pPr>
        <w:pStyle w:val="Heading3"/>
      </w:pPr>
      <w:r>
        <w:t>6.1 反论 A（支持激进授权）：『协同与异议都说了博物馆展示可能构成合理使用，教学展示应当放行』</w:t>
      </w:r>
    </w:p>
    <w:p>
      <w:pPr>
        <w:spacing w:after="120"/>
      </w:pPr>
      <w:r>
        <w:rPr>
          <w:rFonts w:ascii="Microsoft YaHei" w:hAnsi="Microsoft YaHei" w:eastAsia="Microsoft YaHei"/>
          <w:b w:val="0"/>
          <w:sz w:val="21"/>
        </w:rPr>
        <w:t>这是误解①纠正后可能出现的过度矫正，其最强形态是：Gorsuch 协同（加入者含 Jackson，属 7 人多数联盟中的两位）明确写道非营利博物馆展示『很可能指向合理使用』（slip op. 6）；Kagan 异议 n.8 承认多数意见只涉及商业授权；§107 前言明文列举 teaching；多数意见 n.10 自己说纯教学用途『显然会影响分析』。四条线索同向，为何还要等补证？</w:t>
      </w:r>
    </w:p>
    <w:p>
      <w:pPr>
        <w:spacing w:after="120"/>
      </w:pPr>
      <w:r>
        <w:rPr>
          <w:rFonts w:ascii="Microsoft YaHei" w:hAnsi="Microsoft YaHei" w:eastAsia="Microsoft YaHei"/>
          <w:b/>
          <w:i w:val="0"/>
          <w:color w:val="C00000"/>
          <w:sz w:val="21"/>
        </w:rPr>
        <w:t>不采纳，理由：</w:t>
      </w:r>
      <w:r>
        <w:rPr>
          <w:rFonts w:ascii="Microsoft YaHei" w:hAnsi="Microsoft YaHei" w:eastAsia="Microsoft YaHei"/>
          <w:b w:val="0"/>
          <w:i w:val="0"/>
          <w:sz w:val="21"/>
        </w:rPr>
        <w:t>(1) 效力等级——Gorsuch 的话出现在协同意见中，且是明确的假设句（『If, for example…might well…But those cases are not this case』），未对任何博物馆事实作四因素分析；异议无任何裁判效力。委员会若把它们当作放行依据，等于用 dicta 替代 holding，恰恰犯了误解①的错误：把『有利的情节』当成『充分的结论』。(2) 多数意见 n.10 的措辞是『会影响分析』，不是『会得出合理使用』——第一因素有利仍须与其余三因素整体权衡（多数意见 slip op. 38 引 Campbell：四因素不得孤立处理）。(3) 事实缺口是真实的：没有作品清单与权利链，连『被挑战的具体使用』都无法锁定，而逐用途评估正是本判决的方法论核心（Gorsuch 协同 slip op. 6：each challenged use must be assessed on its own terms）。结论：方向性有利 ≠ 现在放行；按 5.3 顺序补证，是把这一有利方向转化为可辩护决定的唯一路径。</w:t>
      </w:r>
    </w:p>
    <w:p>
      <w:pPr>
        <w:pStyle w:val="Heading3"/>
      </w:pPr>
      <w:r>
        <w:t>6.2 反论 B（支持全面冻结）：『博物馆收门票、卖图录，说到底还是商业；判决证明只要沾商业就不安全，应冻结一切 Prince Series 相关授权』</w:t>
      </w:r>
    </w:p>
    <w:p>
      <w:pPr>
        <w:spacing w:after="120"/>
      </w:pPr>
      <w:r>
        <w:rPr>
          <w:rFonts w:ascii="Microsoft YaHei" w:hAnsi="Microsoft YaHei" w:eastAsia="Microsoft YaHei"/>
          <w:b w:val="0"/>
          <w:sz w:val="21"/>
        </w:rPr>
        <w:t>其最强形态是：多数意见把 10,000 美元许可费与 Goldsmith 的 400 美元、1,000 美元授权费并列，强调商业性；上诉法院第四因素认定（判决转述）显示 Goldsmith 有真实的衍生授权市场；AWF 恰恰是在『以为自己有权授权』时被客户起诉。冻结是机构唯一零诉讼风险的选择。</w:t>
      </w:r>
    </w:p>
    <w:p>
      <w:pPr>
        <w:spacing w:after="120"/>
      </w:pPr>
      <w:r>
        <w:rPr>
          <w:rFonts w:ascii="Microsoft YaHei" w:hAnsi="Microsoft YaHei" w:eastAsia="Microsoft YaHei"/>
          <w:b/>
          <w:i w:val="0"/>
          <w:color w:val="C00000"/>
          <w:sz w:val="21"/>
        </w:rPr>
        <w:t>部分采纳、部分不采纳：</w:t>
      </w:r>
      <w:r>
        <w:rPr>
          <w:rFonts w:ascii="Microsoft YaHei" w:hAnsi="Microsoft YaHei" w:eastAsia="Microsoft YaHei"/>
          <w:b w:val="0"/>
          <w:i w:val="0"/>
          <w:sz w:val="21"/>
        </w:rPr>
        <w:t>采纳的部分——(1) 『沾商业即不安全』对同类杂志授权成立：这正是决定一的依据，且 Goldsmith 保留了针对『类似商业授权』的前瞻性救济请求（多数意见 slip op. 21 n.9），冻结同类交易是判决直接支持的。(2) 商业化程度确实影响评估：门票、图录、衍生品不是法律上的中性事实，补证第 4 项因此存在。不采纳的部分——(1) 『只要沾商业就不安全』与判决不符：多数意见明言商业性『相关但不决定性』（The commercial nature of the use is not dispositive，多数意见 slip op. 18 及 n.6、slip op. 24 及 n.13；PDF 第24、30页；另见 Syllabus slip op. 3），并引 1976 年众院报告说明商业/非营利应与其他因素一并权衡；判决自己举的 Soup Cans（艺术评论用途，市场流通中）与 Campbell 案（2 Live Crew 商业发行说唱仍获第一因素考量）都是商业语境下 fair use 可能的例证。(2) 全面冻结的代价是真实的：它会把判决明示未决的创作、展示、出售也一并禁掉——这恰恰复制了误解②，剥夺机构在判决保留空间内合法运作的机会，也与协同、异议共同指向的教学/博物馆用途前景相悖。(3) 『零诉讼风险』是幻觉：冻结本身不消灭底层权利争议，只是把决策成本转移到未来；有序补证＋个案评估＋（可行时）取得许可，才是风险可控且可审计的路径。</w:t>
      </w:r>
    </w:p>
    <w:p>
      <w:pPr>
        <w:pStyle w:val="Heading3"/>
      </w:pPr>
      <w:r>
        <w:t>6.3 反论 C（对决定二的挑战）：『用途导向审查会拖慢交易，为什么不干脆一律先拿许可？』</w:t>
      </w:r>
    </w:p>
    <w:p>
      <w:pPr>
        <w:spacing w:after="120"/>
      </w:pPr>
      <w:r>
        <w:rPr>
          <w:rFonts w:ascii="Microsoft YaHei" w:hAnsi="Microsoft YaHei" w:eastAsia="Microsoft YaHei"/>
          <w:b/>
          <w:i w:val="0"/>
          <w:color w:val="833C00"/>
          <w:sz w:val="21"/>
        </w:rPr>
        <w:t>回应（研究员分析）：</w:t>
      </w:r>
      <w:r>
        <w:rPr>
          <w:rFonts w:ascii="Microsoft YaHei" w:hAnsi="Microsoft YaHei" w:eastAsia="Microsoft YaHei"/>
          <w:b w:val="0"/>
          <w:i w:val="0"/>
          <w:sz w:val="21"/>
        </w:rPr>
        <w:t>许可优先在多数高风险场景确是默认路径（5.1 已如此规定），但『一律许可』不可行也不必要：(1) 判决把 fair use 定性为肯定性抗辩、举证责任在使用人（多数意见 slip op. 34 n.21；PDF 第40页），这支持在存疑时求许可；但异议记录显示许可并不总是可获得——Campbell 案中权利人拒绝许可以阻止戏仿（Kagan 异议 slip op. 16；PDF 第67页）——机构需要一条在许可不可得时仍能评估的备用路径。(2) 对判决明示保留且风险极低的用途（如馆内教学陈列原作实物），一律许可会支付不必要的交易成本，也偏离判决文本。(3) 用途导向清单（第三部分末）本身是轻量流程：四个问题可在收件阶段完成，只有落入灰色地带的申请才升级到外部律师。结论：决定二维持——『许可优先＋用途分诊＋灰色地带升级评估』。</w:t>
      </w:r>
    </w:p>
    <w:p>
      <w:pPr>
        <w:pStyle w:val="Heading3"/>
      </w:pPr>
      <w:r>
        <w:t>6.4 反论 D（对 5.3 暂缓决定的挑战）：『暂缓就是变相否决；Gorsuch 都点名博物馆了，还要多少证据？』</w:t>
      </w:r>
    </w:p>
    <w:p>
      <w:pPr>
        <w:spacing w:after="120"/>
      </w:pPr>
      <w:r>
        <w:rPr>
          <w:rFonts w:ascii="Microsoft YaHei" w:hAnsi="Microsoft YaHei" w:eastAsia="Microsoft YaHei"/>
          <w:b/>
          <w:i w:val="0"/>
          <w:color w:val="C00000"/>
          <w:sz w:val="21"/>
        </w:rPr>
        <w:t>不采纳，理由：</w:t>
      </w:r>
      <w:r>
        <w:rPr>
          <w:rFonts w:ascii="Microsoft YaHei" w:hAnsi="Microsoft YaHei" w:eastAsia="Microsoft YaHei"/>
          <w:b w:val="0"/>
          <w:i w:val="0"/>
          <w:sz w:val="21"/>
        </w:rPr>
        <w:t>(1) 暂缓附有时限化的触发条件（第 1–7 项资料齐备即出决定），不是否决；其对照物恰恰是误解②式的实质否决。(2) Gorsuch 点名的是一般化的『非营利博物馆展示』，而委员会设想尚无作品清单——甚至无法排除拟展品中含 Orange Prince 且展示方式接近杂志配图式商业利用的情形；判决的方法论要求先看用途再看结论。(3) 本受托明确禁止替委员会补造事实；在无清单、无权利链、无展示方式、无收费与许可资料的情况下给出『可以展出』，将是不可复核、不可辩护的意见，风险由机构承担。</w:t>
      </w:r>
    </w:p>
    <w:p>
      <w:pPr>
        <w:pStyle w:val="Heading1"/>
      </w:pPr>
      <w:r>
        <w:t>七、委员会当前可作出的决定及其边界</w:t>
      </w:r>
    </w:p>
    <w:tbl>
      <w:tblPr>
        <w:tblStyle w:val="TableGrid"/>
        <w:tblW w:type="auto" w:w="0"/>
        <w:tblLook w:firstColumn="1" w:firstRow="1" w:lastColumn="0" w:lastRow="0" w:noHBand="0" w:noVBand="1" w:val="04A0"/>
      </w:tblPr>
      <w:tblGrid>
        <w:gridCol w:w="3024"/>
        <w:gridCol w:w="3024"/>
        <w:gridCol w:w="3024"/>
      </w:tblGrid>
      <w:tr>
        <w:tc>
          <w:tcPr>
            <w:tcW w:type="dxa" w:w="1814"/>
            <w:shd w:val="clear" w:fill="1F3864"/>
          </w:tcPr>
          <w:p>
            <w:pPr>
              <w:spacing w:after="40"/>
            </w:pPr>
            <w:r/>
            <w:r>
              <w:rPr>
                <w:rFonts w:ascii="Microsoft YaHei" w:hAnsi="Microsoft YaHei" w:eastAsia="Microsoft YaHei"/>
                <w:b/>
                <w:color w:val="FFFFFF"/>
                <w:sz w:val="19"/>
              </w:rPr>
              <w:t>决定</w:t>
            </w:r>
          </w:p>
        </w:tc>
        <w:tc>
          <w:tcPr>
            <w:tcW w:type="dxa" w:w="4535"/>
            <w:shd w:val="clear" w:fill="1F3864"/>
          </w:tcPr>
          <w:p>
            <w:pPr>
              <w:spacing w:after="40"/>
            </w:pPr>
            <w:r/>
            <w:r>
              <w:rPr>
                <w:rFonts w:ascii="Microsoft YaHei" w:hAnsi="Microsoft YaHei" w:eastAsia="Microsoft YaHei"/>
                <w:b/>
                <w:color w:val="FFFFFF"/>
                <w:sz w:val="19"/>
              </w:rPr>
              <w:t>内容与边界</w:t>
            </w:r>
          </w:p>
        </w:tc>
        <w:tc>
          <w:tcPr>
            <w:tcW w:type="dxa" w:w="2721"/>
            <w:shd w:val="clear" w:fill="1F3864"/>
          </w:tcPr>
          <w:p>
            <w:pPr>
              <w:spacing w:after="40"/>
            </w:pPr>
            <w:r/>
            <w:r>
              <w:rPr>
                <w:rFonts w:ascii="Microsoft YaHei" w:hAnsi="Microsoft YaHei" w:eastAsia="Microsoft YaHei"/>
                <w:b/>
                <w:color w:val="FFFFFF"/>
                <w:sz w:val="19"/>
              </w:rPr>
              <w:t>依据</w:t>
            </w:r>
          </w:p>
        </w:tc>
      </w:tr>
      <w:tr>
        <w:tc>
          <w:tcPr>
            <w:tcW w:type="dxa" w:w="1814"/>
          </w:tcPr>
          <w:p>
            <w:pPr>
              <w:spacing w:after="40"/>
            </w:pPr>
            <w:r/>
            <w:r>
              <w:rPr>
                <w:rFonts w:ascii="Microsoft YaHei" w:hAnsi="Microsoft YaHei" w:eastAsia="Microsoft YaHei"/>
                <w:b w:val="0"/>
                <w:sz w:val="19"/>
              </w:rPr>
              <w:t>D1 · 同类商业授权冻结</w:t>
            </w:r>
          </w:p>
        </w:tc>
        <w:tc>
          <w:tcPr>
            <w:tcW w:type="dxa" w:w="4535"/>
          </w:tcPr>
          <w:p>
            <w:pPr>
              <w:spacing w:after="40"/>
            </w:pPr>
            <w:r/>
            <w:r>
              <w:rPr>
                <w:rFonts w:ascii="Microsoft YaHei" w:hAnsi="Microsoft YaHei" w:eastAsia="Microsoft YaHei"/>
                <w:b w:val="0"/>
                <w:sz w:val="19"/>
              </w:rPr>
              <w:t>把『将 Prince Series（或结构相同的衍生作品）图像授权给杂志/出版方，用作关于底层作品同一主体的封面/配图并收取许可费』列为推定第一因素不利类别；未取得底层权利人许可不放行。边界：仅覆盖同类用途，不外溢到原作实物展示、教学利用或指向底层作品的评论性使用。</w:t>
            </w:r>
          </w:p>
        </w:tc>
        <w:tc>
          <w:tcPr>
            <w:tcW w:type="dxa" w:w="2721"/>
          </w:tcPr>
          <w:p>
            <w:pPr>
              <w:spacing w:after="40"/>
            </w:pPr>
            <w:r/>
            <w:r>
              <w:rPr>
                <w:rFonts w:ascii="Microsoft YaHei" w:hAnsi="Microsoft YaHei" w:eastAsia="Microsoft YaHei"/>
                <w:b w:val="0"/>
                <w:sz w:val="19"/>
              </w:rPr>
              <w:t>多数意见 slip op. 12–13、20、22–25、38；n.9（前瞻性救济请求）；PDF 第18–19、26、28–31、44页</w:t>
            </w:r>
          </w:p>
        </w:tc>
      </w:tr>
      <w:tr>
        <w:tc>
          <w:tcPr>
            <w:tcW w:type="dxa" w:w="1814"/>
          </w:tcPr>
          <w:p>
            <w:pPr>
              <w:spacing w:after="40"/>
            </w:pPr>
            <w:r/>
            <w:r>
              <w:rPr>
                <w:rFonts w:ascii="Microsoft YaHei" w:hAnsi="Microsoft YaHei" w:eastAsia="Microsoft YaHei"/>
                <w:b w:val="0"/>
                <w:sz w:val="19"/>
              </w:rPr>
              <w:t>D2 · 采用用途导向审查协议</w:t>
            </w:r>
          </w:p>
        </w:tc>
        <w:tc>
          <w:tcPr>
            <w:tcW w:type="dxa" w:w="4535"/>
          </w:tcPr>
          <w:p>
            <w:pPr>
              <w:spacing w:after="40"/>
            </w:pPr>
            <w:r/>
            <w:r>
              <w:rPr>
                <w:rFonts w:ascii="Microsoft YaHei" w:hAnsi="Microsoft YaHei" w:eastAsia="Microsoft YaHei"/>
                <w:b w:val="0"/>
                <w:sz w:val="19"/>
              </w:rPr>
              <w:t>所有再利用申请改按四问审查（用途是什么／与权利人典型用途异同／商业性／独立正当化），并对每一用途单独记录结论。边界：协议是内部流程，不改变任何个案仍需的四因素整体权衡。</w:t>
            </w:r>
          </w:p>
        </w:tc>
        <w:tc>
          <w:tcPr>
            <w:tcW w:type="dxa" w:w="2721"/>
          </w:tcPr>
          <w:p>
            <w:pPr>
              <w:spacing w:after="40"/>
            </w:pPr>
            <w:r/>
            <w:r>
              <w:rPr>
                <w:rFonts w:ascii="Microsoft YaHei" w:hAnsi="Microsoft YaHei" w:eastAsia="Microsoft YaHei"/>
                <w:b w:val="0"/>
                <w:sz w:val="19"/>
              </w:rPr>
              <w:t>多数意见 slip op. 16–17、20–21、26–27、31–35；§107；PDF 第22–23、26–27、32–33、37–41页</w:t>
            </w:r>
          </w:p>
        </w:tc>
      </w:tr>
      <w:tr>
        <w:tc>
          <w:tcPr>
            <w:tcW w:type="dxa" w:w="1814"/>
          </w:tcPr>
          <w:p>
            <w:pPr>
              <w:spacing w:after="40"/>
            </w:pPr>
            <w:r/>
            <w:r>
              <w:rPr>
                <w:rFonts w:ascii="Microsoft YaHei" w:hAnsi="Microsoft YaHei" w:eastAsia="Microsoft YaHei"/>
                <w:b w:val="0"/>
                <w:sz w:val="19"/>
              </w:rPr>
              <w:t>D3 · 用途三暂缓决定并启动补证</w:t>
            </w:r>
          </w:p>
        </w:tc>
        <w:tc>
          <w:tcPr>
            <w:tcW w:type="dxa" w:w="4535"/>
          </w:tcPr>
          <w:p>
            <w:pPr>
              <w:spacing w:after="40"/>
            </w:pPr>
            <w:r/>
            <w:r>
              <w:rPr>
                <w:rFonts w:ascii="Microsoft YaHei" w:hAnsi="Microsoft YaHei" w:eastAsia="Microsoft YaHei"/>
                <w:b w:val="0"/>
                <w:sz w:val="19"/>
              </w:rPr>
              <w:t>对非营利博物馆教学展示，按 5.3 表列顺序（1→7，另安排 8 的法条研究）取得资料；齐备前不作授权决定，也不作否决。边界：暂缓仅因事实缺口，非因法律定性不利。</w:t>
            </w:r>
          </w:p>
        </w:tc>
        <w:tc>
          <w:tcPr>
            <w:tcW w:type="dxa" w:w="2721"/>
          </w:tcPr>
          <w:p>
            <w:pPr>
              <w:spacing w:after="40"/>
            </w:pPr>
            <w:r/>
            <w:r>
              <w:rPr>
                <w:rFonts w:ascii="Microsoft YaHei" w:hAnsi="Microsoft YaHei" w:eastAsia="Microsoft YaHei"/>
                <w:b w:val="0"/>
                <w:sz w:val="19"/>
              </w:rPr>
              <w:t>多数意见 slip op. 21 及 n.10；Gorsuch 协同 slip op. 6；Kagan 异议 slip op. 25 n.8；§107 前言</w:t>
            </w:r>
          </w:p>
        </w:tc>
      </w:tr>
      <w:tr>
        <w:tc>
          <w:tcPr>
            <w:tcW w:type="dxa" w:w="1814"/>
          </w:tcPr>
          <w:p>
            <w:pPr>
              <w:spacing w:after="40"/>
            </w:pPr>
            <w:r/>
            <w:r>
              <w:rPr>
                <w:rFonts w:ascii="Microsoft YaHei" w:hAnsi="Microsoft YaHei" w:eastAsia="Microsoft YaHei"/>
                <w:b w:val="0"/>
                <w:sz w:val="19"/>
              </w:rPr>
              <w:t>D4 · 权利链双查制度</w:t>
            </w:r>
          </w:p>
        </w:tc>
        <w:tc>
          <w:tcPr>
            <w:tcW w:type="dxa" w:w="4535"/>
          </w:tcPr>
          <w:p>
            <w:pPr>
              <w:spacing w:after="40"/>
            </w:pPr>
            <w:r/>
            <w:r>
              <w:rPr>
                <w:rFonts w:ascii="Microsoft YaHei" w:hAnsi="Microsoft YaHei" w:eastAsia="Microsoft YaHei"/>
                <w:b w:val="0"/>
                <w:sz w:val="19"/>
              </w:rPr>
              <w:t>凡涉 Prince Series 原作（实物或图像）的展示/出售/出借/图录申请，同时核查：AWF 主张的版权、底层照片权利（Goldsmith 方）、实物所有权（12 件已售、4 件在 Warhol 博物馆托管——以判决所载为限，实际现状需重新核实）。</w:t>
            </w:r>
          </w:p>
        </w:tc>
        <w:tc>
          <w:tcPr>
            <w:tcW w:type="dxa" w:w="2721"/>
          </w:tcPr>
          <w:p>
            <w:pPr>
              <w:spacing w:after="40"/>
            </w:pPr>
            <w:r/>
            <w:r>
              <w:rPr>
                <w:rFonts w:ascii="Microsoft YaHei" w:hAnsi="Microsoft YaHei" w:eastAsia="Microsoft YaHei"/>
                <w:b w:val="0"/>
                <w:sz w:val="19"/>
              </w:rPr>
              <w:t>多数意见 slip op. 5 及 n.2；§106(2)(3)(5)；§101 display/publicly</w:t>
            </w:r>
          </w:p>
        </w:tc>
      </w:tr>
      <w:tr>
        <w:tc>
          <w:tcPr>
            <w:tcW w:type="dxa" w:w="1814"/>
          </w:tcPr>
          <w:p>
            <w:pPr>
              <w:spacing w:after="40"/>
            </w:pPr>
            <w:r/>
            <w:r>
              <w:rPr>
                <w:rFonts w:ascii="Microsoft YaHei" w:hAnsi="Microsoft YaHei" w:eastAsia="Microsoft YaHei"/>
                <w:b w:val="0"/>
                <w:sz w:val="19"/>
              </w:rPr>
              <w:t>D5 · 对外口径统一</w:t>
            </w:r>
          </w:p>
        </w:tc>
        <w:tc>
          <w:tcPr>
            <w:tcW w:type="dxa" w:w="4535"/>
          </w:tcPr>
          <w:p>
            <w:pPr>
              <w:spacing w:after="40"/>
            </w:pPr>
            <w:r/>
            <w:r>
              <w:rPr>
                <w:rFonts w:ascii="Microsoft YaHei" w:hAnsi="Microsoft YaHei" w:eastAsia="Microsoft YaHei"/>
                <w:b w:val="0"/>
                <w:sz w:val="19"/>
              </w:rPr>
              <w:t>对外说明一律采用第八部分文本；不得把本案表述为『Warhol 侵权成立』『Prince Series 被禁』或『所有二次创作都需许可』，也不得表述为『有新表达即安全』。</w:t>
            </w:r>
          </w:p>
        </w:tc>
        <w:tc>
          <w:tcPr>
            <w:tcW w:type="dxa" w:w="2721"/>
          </w:tcPr>
          <w:p>
            <w:pPr>
              <w:spacing w:after="40"/>
            </w:pPr>
            <w:r/>
            <w:r>
              <w:rPr>
                <w:rFonts w:ascii="Microsoft YaHei" w:hAnsi="Microsoft YaHei" w:eastAsia="Microsoft YaHei"/>
                <w:b w:val="0"/>
                <w:sz w:val="19"/>
              </w:rPr>
              <w:t>Syllabus 及多数意见 slip op. 21（判决范围）；Gorsuch 协同 slip op. 5（未判侵权）</w:t>
            </w:r>
          </w:p>
        </w:tc>
      </w:tr>
    </w:tbl>
    <w:p>
      <w:pPr>
        <w:pStyle w:val="Heading1"/>
      </w:pPr>
      <w:r>
        <w:t>八、可对外使用的简明案件说明</w:t>
      </w:r>
    </w:p>
    <w:tbl>
      <w:tblPr>
        <w:tblStyle w:val="TableGrid"/>
        <w:tblW w:type="auto" w:w="0"/>
        <w:tblLook w:firstColumn="1" w:firstRow="1" w:lastColumn="0" w:lastRow="0" w:noHBand="0" w:noVBand="1" w:val="04A0"/>
      </w:tblPr>
      <w:tblGrid>
        <w:gridCol w:w="9072"/>
      </w:tblGrid>
      <w:tr>
        <w:tc>
          <w:tcPr>
            <w:tcW w:type="dxa" w:w="9072"/>
            <w:shd w:val="clear" w:fill="D6E4F0"/>
          </w:tcPr>
          <w:p>
            <w:pPr>
              <w:spacing w:after="40"/>
            </w:pPr>
            <w:r/>
            <w:r>
              <w:rPr>
                <w:rFonts w:ascii="Microsoft YaHei" w:hAnsi="Microsoft YaHei" w:eastAsia="Microsoft YaHei"/>
                <w:sz w:val="21"/>
              </w:rPr>
              <w:t>2023 年 5 月 18 日，美国最高法院在 Andy Warhol Foundation v. Goldsmith 案中裁定：就安迪·沃霍尔基金会 2016 年将沃霍尔作品《Orange Prince》商业授权给杂志出版方、用作纪念 Prince 特刊封面这一具体使用而言，版权法合理使用四因素中的第一因素（使用的目的与性质）不利于基金会。法院认为，在该使用语境中，沃霍尔图像与摄影师 Lynn Goldsmith 1981 年的原始照片共享实质相同的目的——在关于 Prince 的杂志中以 Prince 肖像描绘 Prince——且该使用属商业性质；沃霍尔作品虽增添了新的表达，但这不足以在此语境下使第一因素转向。需要强调判决的边界：法院只审理了这一个因素、这一笔授权，明确表示不对 Prince Series 原作的创作、展示或出售发表意见，也没有认定侵权最终成立；协同意见与异议意见都指出，非营利博物馆或教学性质的使用会呈现不同的分析。换言之，本案既不是『有艺术新意即可自由使用他人作品』的许可，也不是『沃霍尔作品从此不得再利用』的禁令——它确立的是：合理使用的判断跟随每一次具体使用，而非作品的名声或风格。</w:t>
            </w:r>
          </w:p>
        </w:tc>
      </w:tr>
    </w:tbl>
    <w:p>
      <w:pPr>
        <w:spacing w:after="120"/>
      </w:pPr>
      <w:r>
        <w:rPr>
          <w:rFonts w:ascii="Microsoft YaHei" w:hAnsi="Microsoft YaHei" w:eastAsia="Microsoft YaHei"/>
          <w:b w:val="0"/>
          <w:color w:val="833C00"/>
          <w:sz w:val="19"/>
        </w:rPr>
        <w:t>（使用说明：以上段落可直接用于委员会对外沟通；引用数字与表述均出自判决正文。若对象为媒体，建议同时注明『判决未认定最终侵权责任，相关程序以法院记录为准』。）</w:t>
      </w:r>
    </w:p>
    <w:p>
      <w:pPr>
        <w:pStyle w:val="Heading1"/>
      </w:pPr>
      <w:r>
        <w:t>九、范围、方法与限制</w:t>
      </w:r>
    </w:p>
    <w:p>
      <w:pPr>
        <w:pStyle w:val="ListBullet"/>
        <w:spacing w:after="60"/>
      </w:pPr>
      <w:r>
        <w:rPr>
          <w:rFonts w:ascii="Microsoft YaHei" w:hAnsi="Microsoft YaHei" w:eastAsia="Microsoft YaHei"/>
          <w:b w:val="0"/>
          <w:i w:val="0"/>
          <w:sz w:val="21"/>
        </w:rPr>
        <w:t>材料范围：本备忘录与工作簿仅依据 /app/input_files/ 随附原件——判决 PDF（slip opinion，87 页，含 fig.1–7 与 Appendix）、Cornell LII 的 §§101、106、107 页面。同案 LII HTML 已核对为同一判决的阅读辅助版本，未作为独立权威引用。</w:t>
      </w:r>
    </w:p>
    <w:p>
      <w:pPr>
        <w:pStyle w:val="ListBullet"/>
        <w:spacing w:after="60"/>
      </w:pPr>
      <w:r>
        <w:rPr>
          <w:rFonts w:ascii="Microsoft YaHei" w:hAnsi="Microsoft YaHei" w:eastAsia="Microsoft YaHei"/>
          <w:b w:val="0"/>
          <w:i w:val="0"/>
          <w:sz w:val="21"/>
        </w:rPr>
        <w:t>引注体例：『slip op. X』为判决书自身页码（多数意见、协同、异议各自从 1 起编）；『PDF 第 X 页』为随附 PDF 文件物理页码，便于按原件复核。判决正文对 1 App./2 App.（卷宗证据）与下级法院判决的引用，均按判决转述引用并标明，本研究员未亲自审阅该等未附送证据。</w:t>
      </w:r>
    </w:p>
    <w:p>
      <w:pPr>
        <w:pStyle w:val="ListBullet"/>
        <w:spacing w:after="60"/>
      </w:pPr>
      <w:r>
        <w:rPr>
          <w:rFonts w:ascii="Microsoft YaHei" w:hAnsi="Microsoft YaHei" w:eastAsia="Microsoft YaHei"/>
          <w:b w:val="0"/>
          <w:i w:val="0"/>
          <w:sz w:val="21"/>
        </w:rPr>
        <w:t>图示处理：判决 PDF 含原始图示（Goldsmith 照片 fig.1、1984 Vanity Fair 插图 fig.2、2016 Condé Nast 封面 fig.3、杂志封面群 fig.4–5、叠加示意 fig.6、Soup Cans fig.7、Appendix 全 16 件）。本文仅引用判决正文对图示的文字描述与图注，未对图像内容作独立鉴定；关于两作品视觉差异，多数意见（『crops, flattens, traces, and colors』）与异议（『materially distinct』）评价不同，两处均已标明出处，供委员对照原件自行判断。</w:t>
      </w:r>
    </w:p>
    <w:p>
      <w:pPr>
        <w:pStyle w:val="ListBullet"/>
        <w:spacing w:after="60"/>
      </w:pPr>
      <w:r>
        <w:rPr>
          <w:rFonts w:ascii="Microsoft YaHei" w:hAnsi="Microsoft YaHei" w:eastAsia="Microsoft YaHei"/>
          <w:b w:val="0"/>
          <w:i w:val="0"/>
          <w:sz w:val="21"/>
        </w:rPr>
        <w:t>法律时效：法律资料按随附版本研究，未联网核实 2023 年后发展；本备忘录不构成任何特定日期的完整现行法律意见，亦不构成对任何具体交易的最终批准。</w:t>
      </w:r>
    </w:p>
    <w:p>
      <w:pPr>
        <w:pStyle w:val="ListBullet"/>
        <w:spacing w:after="60"/>
      </w:pPr>
      <w:r>
        <w:rPr>
          <w:rFonts w:ascii="Microsoft YaHei" w:hAnsi="Microsoft YaHei" w:eastAsia="Microsoft YaHei"/>
          <w:b w:val="0"/>
          <w:i w:val="0"/>
          <w:sz w:val="21"/>
        </w:rPr>
        <w:t>事实纪律：本备忘录未虚构任何授权条款、当事人答复、交易、诉讼结果或图片内容；2016 年授权之后的程序进展（发回后的处理、和解、赔偿等）不在随附材料内，一律不述。</w:t>
      </w:r>
    </w:p>
    <w:p>
      <w:pPr>
        <w:pStyle w:val="ListBullet"/>
        <w:spacing w:after="60"/>
      </w:pPr>
      <w:r>
        <w:rPr>
          <w:rFonts w:ascii="Microsoft YaHei" w:hAnsi="Microsoft YaHei" w:eastAsia="Microsoft YaHei"/>
          <w:b w:val="0"/>
          <w:i w:val="0"/>
          <w:sz w:val="21"/>
        </w:rPr>
        <w:t>分工声明：文中凡标注『研究员分析』或置于分析段落的判断（如 5.1–5.3 的行动建议、第六部分的论证权衡）均为本研究之分析意见，非判决内容；具裁判效力的内容仅限多数意见的 Holding 与其明确推理，协同与异议均已标明其非 binding 性质。</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Microsoft YaHei" w:hAnsi="Microsoft YaHei" w:eastAsia="Microsoft YaHei"/>
      <w:b/>
      <w:bCs/>
      <w:color w:val="833C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