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艺术授权委员会法律研究备忘录：Warhol判决的具体用途边界</w:t>
      </w:r>
    </w:p>
    <w:p>
      <w:pPr>
        <w:pStyle w:val="Heading1"/>
      </w:pPr>
      <w:r>
        <w:t>当前建议</w:t>
      </w:r>
    </w:p>
    <w:p>
      <w:r>
        <w:t>应同时拒绝委员会两种概括。对与本案相近的杂志商业授权，不以“新艺术表达”作为可放心授权的唯一理由；对原作及博物馆设想，也不以本案为全部再利用已被禁止的依据。现可批准资料准备及逐用途审核，事实不足的新交易暂不签无条件版权免责意见。</w:t>
      </w:r>
    </w:p>
    <w:p>
      <w:r>
        <w:t>该建议不等于认为必须取得许可才能主张任何例外。若事实支持，机构仍可对特定用途形成合理使用论证；但论证应覆盖适用权利与相关因素，且不把一个用途的结论自动迁移到其他用途。</w:t>
      </w:r>
    </w:p>
    <w:p>
      <w:pPr>
        <w:pStyle w:val="Heading1"/>
      </w:pPr>
      <w:r>
        <w:t>裁判与授权事实</w:t>
      </w:r>
    </w:p>
    <w:p>
      <w:r>
        <w:t>1984许可是对Vanity Fair作为艺术家参考及指定刊载用途的有限许可，涉及400美元和来源信用；不能把它改写成面向基金会未来一切商业授权的永久许可。2016年Condé Nast选择Orange Prince并向AWF支付10000美元，Goldsmith未获费用或来源信用。这些来自最高法院记载，不表示已另行取得完整合同或认定损害赔偿数额。</w:t>
      </w:r>
    </w:p>
    <w:p>
      <w:r>
        <w:t>地区法院与第二巡回对合理使用有不同判断；最高法院受理和回答的是本次具体用途的第一因素问题。第二巡回对四因素的判断由最高法院意见转述，并不等于最高法院在本案逐一重新作出四因素全部分析。</w:t>
      </w:r>
    </w:p>
    <w:p>
      <w:pPr>
        <w:pStyle w:val="Heading1"/>
      </w:pPr>
      <w:r>
        <w:t>多数理由与最强反论证</w:t>
      </w:r>
    </w:p>
    <w:p>
      <w:r>
        <w:t>多数意见认为，新表达、意义或信息可能与转化性相关，但需在具体使用的目的与性质中判断，并与商业性等事项结合。本案两种图像都服务于杂志中描绘Prince的相近用途，第一因素支持Goldsmith。商业性不是唯一决定项，不能据此建立商业使用一律失败的内部规则。</w:t>
      </w:r>
    </w:p>
    <w:p>
      <w:r>
        <w:t>Kagan异议的强论证在于艺术表达和意义的变化，以及压缩后续创作奖励的风险：只看商业授权背景可能低估真正艺术贡献。委员会应正视这种解释，而非仅说“异议不是法”。但在本案受理问题上，多数结果仍具有决定地位；接受作品在艺术上的变化，不足以将相同的2016授权事实重新说成第一因素已对AWF有利。</w:t>
      </w:r>
    </w:p>
    <w:p>
      <w:r>
        <w:t>Gorsuch协同意见强调针对特定使用，不以抽象艺术价值裁判一切用途；它有助于说明不同用途可以不同分析。协同与多数的措辞不能不加区分地拼成所有法官一致认可的新规则。</w:t>
      </w:r>
    </w:p>
    <w:p>
      <w:pPr>
        <w:pStyle w:val="Heading1"/>
      </w:pPr>
      <w:r>
        <w:t>三个用途的决策</w:t>
      </w:r>
    </w:p>
    <w:p>
      <w:r>
        <w:t>2016 Orange Prince杂志授权：第一因素支持Goldsmith：杂志中描绘Prince的相近目的及商业性质，新表达不自动改变结果。建议：不得批准“新意义即自动免责”的一般政策；以本案为相近杂志授权的显著风险警示。边界：本案未由最高法院重新裁判其余全部因素；本意见不替代完整权利清理、授权合同或救济分析。来源：Warhol_v_Goldsmith_2023_LII.html，全页p元素序号55（含导航及syllabus，不是司法段号）；定位短语：first fair use factor still favors Goldsmith；Warhol_v_Goldsmith_2023_LII.html，全页p元素序号41（含导航及syllabus，不是司法段号）；定位短语：$10,000</w:t>
      </w:r>
    </w:p>
    <w:p>
      <w:r>
        <w:t>原Prince Series作品创作、展示或出售：应区分具体行为、权利及背景，不能由本案直接推出全合法或全禁止。建议：拒绝“全部再利用已被禁止”的对外说明；涉及具体新行为时开启单独审核。边界：需作品与行为清单、权利链和拟使用方式；不在缺事实时给整系列一次性fair-use通行证。来源：Warhol_v_Goldsmith_2023_LII.html，全页p元素序号78（含导航及syllabus，不是司法段号）；定位短语：expresses no opinion</w:t>
      </w:r>
    </w:p>
    <w:p>
      <w:r>
        <w:t>非营利博物馆教学展示设想：非营利教学可影响第一因素，但不是§107自动豁免；多因素和具体使用仍需核实。建议：可以批准准备资料与用途分解，暂不作无条件版权免责批准或全面禁止；核查后可考虑取得足够权利、收窄复制传播或有论证地依赖例外。边界：馆内展示、制作图录、网站图像、宣传和授权第三方应分别列出，不把“教学”标签覆盖全部行为。来源：Warhol_v_Goldsmith_2023_LII.html，全页p元素序号120（含导航及syllabus，不是司法段号）；定位短语：teaching purposes；17_USC_107_LII.html §107</w:t>
      </w:r>
    </w:p>
    <w:p>
      <w:pPr>
        <w:pStyle w:val="Heading1"/>
      </w:pPr>
      <w:r>
        <w:t>法条与尚缺事实如何改变意见</w:t>
      </w:r>
    </w:p>
    <w:p>
      <w:r>
        <w:t>§101衍生作品定义与§106专有权说明：在既有作品基础上具有新表达，不意味着不涉及基础作品的权利。另一方面，§107等限制也不能被§106专有权描述抹去。应先分清具体行为触及何种权利，再判断许可及例外。</w:t>
      </w:r>
    </w:p>
    <w:p>
      <w:r>
        <w:t>对博物馆设想，真实、可证明的教学或批评语境可能支持第一因素，但非营利标签不直接决定四因素。若同时制作图录、网站传播、促销或第三方授权，分析对象和市场影响可能不同。原作性质、所用部分及市场证据尚未齐备，不能以这些未知事实替机构完成肯定免责结论。</w:t>
      </w:r>
    </w:p>
    <w:p>
      <w:r>
        <w:t>如果权利链资料证明相应用途已有足够许可，应优先核对授权范围；若复制方式和市场材料支持某个有边界的例外，可据此形成分用途意见。反之，若用途接近本案的商业杂志授权或许可范围不足，应改变交易设计、寻求相应权利或暂缓签核。这些是待证条件，不是已经发生的交易事实。</w:t>
      </w:r>
    </w:p>
    <w:p>
      <w:pPr>
        <w:pStyle w:val="Heading1"/>
      </w:pPr>
      <w:r>
        <w:t>补证顺序与关闭</w:t>
      </w:r>
    </w:p>
    <w:p>
      <w:r>
        <w:t>第1项：向委员会/策展岗位请求列明实际作品、原作或复制件、馆内展示、图录、网站、宣传及第三方授权。用途：决定哪些§106权利与具体用途需要分别审查。关闭条件：每项拟进行行为能对应到作品、对象、传播方式和时间。</w:t>
      </w:r>
    </w:p>
    <w:p>
      <w:r>
        <w:t>第2项：向授权法务岗位请求取得相应版权、作品所有权和许可合同；核对范围、用途、地域、期限与再授权。用途：拥有物件或新作权利不等于已经取得基础照片全部权利。关闭条件：书面记录能明确谁可授予什么权利，超出部分另处理。</w:t>
      </w:r>
    </w:p>
    <w:p>
      <w:r>
        <w:t>第3项：向策展/教育岗位请求提供展览教学目的、批评说明、呈现方式及收费/赞助安排，不由研究人自行补写事实。用途：用于第一因素的实际目的、性质与商业性分析。关闭条件：能够以实际文件检验教学或批评目的及其与复制行为关系。</w:t>
      </w:r>
    </w:p>
    <w:p>
      <w:r>
        <w:t>第4项：向策展/设计岗位请求提供拟用版本、大小、分辨率、数量和上下文；与原作品可定位比较。用途：供§107第三因素及转化主张分析，不设无根据的安全百分比。关闭条件：每项复制范围有必要性解释和实际样本。</w:t>
      </w:r>
    </w:p>
    <w:p>
      <w:r>
        <w:t>第5项：向授权/商务岗位请求收集本机构用途相关的现有许可渠道、受众和替代用途证据。用途：供第四因素研究，不预设非营利没有市场影响或艺术不同即无竞争。关闭条件：所评市场有事实依据，未知影响单列，不用想象填补。</w:t>
      </w:r>
    </w:p>
    <w:p>
      <w:r>
        <w:t>第6项：向授权委员会请求形成各用途已知事实、支持及反对论证、仍缺证据与许可或例外依据。用途：保证决定范围不大于事实和法律论证支持范围。关闭条件：每项批准有条件、责任岗位及复核触发点；未决部分不对外承诺免责。</w:t>
      </w:r>
    </w:p>
    <w:p>
      <w:pPr>
        <w:pStyle w:val="Heading1"/>
      </w:pPr>
      <w:r>
        <w:t>对外案件说明草稿</w:t>
      </w:r>
    </w:p>
    <w:p>
      <w:r>
        <w:t>美国最高法院在Warhol v. Goldsmith案中，就基金会2016年把Orange Prince授权给纪念Prince的杂志这一具体用途，认定合理使用第一因素支持摄影师Goldsmith。新表达并非无关，但不能单独决定这一因素；多数意见重视具体用途的相近目的和商业性质。判决明确未就原Prince Series作品的创作、展示或出售发表意见，也没有规定所有商业使用必然失败或所有非营利教学使用必然免责。其他用途仍须结合事实与适用法律分别分析。</w:t>
      </w:r>
    </w:p>
    <w:p>
      <w:pPr>
        <w:pStyle w:val="Heading1"/>
      </w:pPr>
      <w:r>
        <w:t>来源与限制</w:t>
      </w:r>
    </w:p>
    <w:p>
      <w:r>
        <w:t>判决PDF及同案HTML、17 U.S.C. §§101、106、107均为随附公开原件。重要论证与事实定位见工作簿；HTML序号是解析定位方式，不是假装司法段号。没有引用未附完整文件作为已亲自审阅的独立证据。</w:t>
      </w:r>
    </w:p>
    <w:p>
      <w:r>
        <w:t>本意见不是全面美国版权研究，也不处理未提供事实的特定合同、所有权转移或救济数额；后续签核须根据具体用途、证据及适用版本复核。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