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Dota 2 平衡复核</w:t>
      </w:r>
    </w:p>
    <w:p>
      <w:pPr>
        <w:jc w:val="left"/>
      </w:pPr>
      <w:r>
        <w:rPr>
          <w:i/>
        </w:rPr>
        <w:t>将历史对局信号转成六项受控试玩假设｜决策版｜2026-10-23</w:t>
      </w:r>
    </w:p>
    <w:p>
      <w:pPr>
        <w:pStyle w:val="Subtitle"/>
      </w:pPr>
      <w:r>
        <w:t>决策结论</w:t>
      </w:r>
    </w:p>
    <w:p>
      <w:r>
        <w:rPr>
          <w:b/>
        </w:rPr>
        <w:t>安排完整受控试玩：H091、H061、H057。</w:t>
      </w:r>
      <w:r>
        <w:t xml:space="preserve"> 其余H080、H103、H036保留轻量证据收集。六项均来自训练冻结规则；测试集只做一次方向复核，未参与重选或基线估计。</w:t>
      </w:r>
    </w:p>
    <w:p>
      <w:pPr>
        <w:pStyle w:val="ListBullet"/>
      </w:pPr>
      <w:r>
        <w:t>三项最优组合的LeaveClusterOut保守强度和为36.598个百分点；至少包含一项高向和一项低向。</w:t>
      </w:r>
    </w:p>
    <w:p>
      <w:pPr>
        <w:pStyle w:val="ListBullet"/>
      </w:pPr>
      <w:r>
        <w:t>六项在测试集均达到出场≥100且校正差与训练严格同号，因此标记“方向复现”；这不是因果或显著性结论。</w:t>
      </w:r>
    </w:p>
    <w:p>
      <w:pPr>
        <w:pStyle w:val="ListBullet"/>
      </w:pPr>
      <w:r>
        <w:t>六项也在21个合格cluster逐一剔除后全部满足剩余出场≥500、每方≥100且严格同号，因而都有升级资格；名额由训练目标函数决定。</w:t>
      </w:r>
    </w:p>
    <w:p>
      <w:pPr>
        <w:pStyle w:val="Heading1"/>
      </w:pPr>
      <w:r>
        <w:t>1. 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vAlign w:val="center"/>
            <w:shd w:fill="17365D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1271"/>
            <w:vAlign w:val="center"/>
            <w:shd w:fill="17365D"/>
          </w:tcPr>
          <w:p>
            <w:r>
              <w:rPr>
                <w:b/>
                <w:color w:val="FFFFFF"/>
              </w:rPr>
              <w:t>H</w:t>
            </w:r>
          </w:p>
        </w:tc>
        <w:tc>
          <w:tcPr>
            <w:tcW w:type="dxa" w:w="1271"/>
            <w:vAlign w:val="center"/>
            <w:shd w:fill="17365D"/>
          </w:tcPr>
          <w:p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1271"/>
            <w:vAlign w:val="center"/>
            <w:shd w:fill="17365D"/>
          </w:tcPr>
          <w:p>
            <w:r>
              <w:rPr>
                <w:b/>
                <w:color w:val="FFFFFF"/>
              </w:rPr>
              <w:t>训练校正差</w:t>
            </w:r>
          </w:p>
        </w:tc>
        <w:tc>
          <w:tcPr>
            <w:tcW w:type="dxa" w:w="1271"/>
            <w:vAlign w:val="center"/>
            <w:shd w:fill="17365D"/>
          </w:tcPr>
          <w:p>
            <w:r>
              <w:rPr>
                <w:b/>
                <w:color w:val="FFFFFF"/>
              </w:rPr>
              <w:t>测试n / 校正差</w:t>
            </w:r>
          </w:p>
        </w:tc>
        <w:tc>
          <w:tcPr>
            <w:tcW w:type="dxa" w:w="1271"/>
            <w:vAlign w:val="center"/>
            <w:shd w:fill="17365D"/>
          </w:tcPr>
          <w:p>
            <w:r>
              <w:rPr>
                <w:b/>
                <w:color w:val="FFFFFF"/>
              </w:rPr>
              <w:t>复核</w:t>
            </w:r>
          </w:p>
        </w:tc>
        <w:tc>
          <w:tcPr>
            <w:tcW w:type="dxa" w:w="1271"/>
            <w:vAlign w:val="center"/>
            <w:shd w:fill="17365D"/>
          </w:tcPr>
          <w:p>
            <w:r>
              <w:rPr>
                <w:b/>
                <w:color w:val="FFFFFF"/>
              </w:rPr>
              <w:t>保守强度</w:t>
            </w:r>
          </w:p>
        </w:tc>
        <w:tc>
          <w:tcPr>
            <w:tcW w:type="dxa" w:w="1271"/>
            <w:vAlign w:val="center"/>
            <w:shd w:fill="17365D"/>
          </w:tcPr>
          <w:p>
            <w:r>
              <w:rPr>
                <w:b/>
                <w:color w:val="FFFFFF"/>
              </w:rPr>
              <w:t>安排</w:t>
            </w:r>
          </w:p>
        </w:tc>
      </w:tr>
      <w:tr>
        <w:tc>
          <w:tcPr>
            <w:tcW w:type="dxa" w:w="1271"/>
          </w:tcPr>
          <w:p>
            <w:r>
              <w:t>P1</w:t>
            </w:r>
          </w:p>
        </w:tc>
        <w:tc>
          <w:tcPr>
            <w:tcW w:type="dxa" w:w="1271"/>
          </w:tcPr>
          <w:p>
            <w:r>
              <w:t>H091</w:t>
            </w:r>
          </w:p>
        </w:tc>
        <w:tc>
          <w:tcPr>
            <w:tcW w:type="dxa" w:w="1271"/>
          </w:tcPr>
          <w:p>
            <w:r>
              <w:t>低</w:t>
            </w:r>
          </w:p>
        </w:tc>
        <w:tc>
          <w:tcPr>
            <w:tcW w:type="dxa" w:w="1271"/>
          </w:tcPr>
          <w:p>
            <w:r>
              <w:t>-14.67 pp</w:t>
            </w:r>
          </w:p>
        </w:tc>
        <w:tc>
          <w:tcPr>
            <w:tcW w:type="dxa" w:w="1271"/>
          </w:tcPr>
          <w:p>
            <w:r>
              <w:t>198 / -6.44 pp</w:t>
            </w:r>
          </w:p>
        </w:tc>
        <w:tc>
          <w:tcPr>
            <w:tcW w:type="dxa" w:w="1271"/>
          </w:tcPr>
          <w:p>
            <w:r>
              <w:t>方向复现</w:t>
            </w:r>
          </w:p>
        </w:tc>
        <w:tc>
          <w:tcPr>
            <w:tcW w:type="dxa" w:w="1271"/>
          </w:tcPr>
          <w:p>
            <w:r>
              <w:t>14.11 pp</w:t>
            </w:r>
          </w:p>
        </w:tc>
        <w:tc>
          <w:tcPr>
            <w:tcW w:type="dxa" w:w="1271"/>
          </w:tcPr>
          <w:p>
            <w:r>
              <w:t>完整试玩</w:t>
            </w:r>
          </w:p>
        </w:tc>
      </w:tr>
      <w:tr>
        <w:tc>
          <w:tcPr>
            <w:tcW w:type="dxa" w:w="1271"/>
          </w:tcPr>
          <w:p>
            <w:r>
              <w:t>P2</w:t>
            </w:r>
          </w:p>
        </w:tc>
        <w:tc>
          <w:tcPr>
            <w:tcW w:type="dxa" w:w="1271"/>
          </w:tcPr>
          <w:p>
            <w:r>
              <w:t>H061</w:t>
            </w:r>
          </w:p>
        </w:tc>
        <w:tc>
          <w:tcPr>
            <w:tcW w:type="dxa" w:w="1271"/>
          </w:tcPr>
          <w:p>
            <w:r>
              <w:t>低</w:t>
            </w:r>
          </w:p>
        </w:tc>
        <w:tc>
          <w:tcPr>
            <w:tcW w:type="dxa" w:w="1271"/>
          </w:tcPr>
          <w:p>
            <w:r>
              <w:t>-12.39 pp</w:t>
            </w:r>
          </w:p>
        </w:tc>
        <w:tc>
          <w:tcPr>
            <w:tcW w:type="dxa" w:w="1271"/>
          </w:tcPr>
          <w:p>
            <w:r>
              <w:t>210 / -2.67 pp</w:t>
            </w:r>
          </w:p>
        </w:tc>
        <w:tc>
          <w:tcPr>
            <w:tcW w:type="dxa" w:w="1271"/>
          </w:tcPr>
          <w:p>
            <w:r>
              <w:t>方向复现</w:t>
            </w:r>
          </w:p>
        </w:tc>
        <w:tc>
          <w:tcPr>
            <w:tcW w:type="dxa" w:w="1271"/>
          </w:tcPr>
          <w:p>
            <w:r>
              <w:t>11.93 pp</w:t>
            </w:r>
          </w:p>
        </w:tc>
        <w:tc>
          <w:tcPr>
            <w:tcW w:type="dxa" w:w="1271"/>
          </w:tcPr>
          <w:p>
            <w:r>
              <w:t>完整试玩</w:t>
            </w:r>
          </w:p>
        </w:tc>
      </w:tr>
      <w:tr>
        <w:tc>
          <w:tcPr>
            <w:tcW w:type="dxa" w:w="1271"/>
          </w:tcPr>
          <w:p>
            <w:r>
              <w:t>P3</w:t>
            </w:r>
          </w:p>
        </w:tc>
        <w:tc>
          <w:tcPr>
            <w:tcW w:type="dxa" w:w="1271"/>
          </w:tcPr>
          <w:p>
            <w:r>
              <w:t>H057</w:t>
            </w:r>
          </w:p>
        </w:tc>
        <w:tc>
          <w:tcPr>
            <w:tcW w:type="dxa" w:w="1271"/>
          </w:tcPr>
          <w:p>
            <w:r>
              <w:t>高</w:t>
            </w:r>
          </w:p>
        </w:tc>
        <w:tc>
          <w:tcPr>
            <w:tcW w:type="dxa" w:w="1271"/>
          </w:tcPr>
          <w:p>
            <w:r>
              <w:t>+10.78 pp</w:t>
            </w:r>
          </w:p>
        </w:tc>
        <w:tc>
          <w:tcPr>
            <w:tcW w:type="dxa" w:w="1271"/>
          </w:tcPr>
          <w:p>
            <w:r>
              <w:t>917 / +10.00 pp</w:t>
            </w:r>
          </w:p>
        </w:tc>
        <w:tc>
          <w:tcPr>
            <w:tcW w:type="dxa" w:w="1271"/>
          </w:tcPr>
          <w:p>
            <w:r>
              <w:t>方向复现</w:t>
            </w:r>
          </w:p>
        </w:tc>
        <w:tc>
          <w:tcPr>
            <w:tcW w:type="dxa" w:w="1271"/>
          </w:tcPr>
          <w:p>
            <w:r>
              <w:t>10.55 pp</w:t>
            </w:r>
          </w:p>
        </w:tc>
        <w:tc>
          <w:tcPr>
            <w:tcW w:type="dxa" w:w="1271"/>
          </w:tcPr>
          <w:p>
            <w:r>
              <w:t>完整试玩</w:t>
            </w:r>
          </w:p>
        </w:tc>
      </w:tr>
      <w:tr>
        <w:tc>
          <w:tcPr>
            <w:tcW w:type="dxa" w:w="1271"/>
          </w:tcPr>
          <w:p>
            <w:r>
              <w:t>P4</w:t>
            </w:r>
          </w:p>
        </w:tc>
        <w:tc>
          <w:tcPr>
            <w:tcW w:type="dxa" w:w="1271"/>
          </w:tcPr>
          <w:p>
            <w:r>
              <w:t>H080</w:t>
            </w:r>
          </w:p>
        </w:tc>
        <w:tc>
          <w:tcPr>
            <w:tcW w:type="dxa" w:w="1271"/>
          </w:tcPr>
          <w:p>
            <w:r>
              <w:t>低</w:t>
            </w:r>
          </w:p>
        </w:tc>
        <w:tc>
          <w:tcPr>
            <w:tcW w:type="dxa" w:w="1271"/>
          </w:tcPr>
          <w:p>
            <w:r>
              <w:t>-11.42 pp</w:t>
            </w:r>
          </w:p>
        </w:tc>
        <w:tc>
          <w:tcPr>
            <w:tcW w:type="dxa" w:w="1271"/>
          </w:tcPr>
          <w:p>
            <w:r>
              <w:t>173 / -14.33 pp</w:t>
            </w:r>
          </w:p>
        </w:tc>
        <w:tc>
          <w:tcPr>
            <w:tcW w:type="dxa" w:w="1271"/>
          </w:tcPr>
          <w:p>
            <w:r>
              <w:t>方向复现</w:t>
            </w:r>
          </w:p>
        </w:tc>
        <w:tc>
          <w:tcPr>
            <w:tcW w:type="dxa" w:w="1271"/>
          </w:tcPr>
          <w:p>
            <w:r>
              <w:t>11.09 pp</w:t>
            </w:r>
          </w:p>
        </w:tc>
        <w:tc>
          <w:tcPr>
            <w:tcW w:type="dxa" w:w="1271"/>
          </w:tcPr>
          <w:p>
            <w:r>
              <w:t>轻量证据收集</w:t>
            </w:r>
          </w:p>
        </w:tc>
      </w:tr>
      <w:tr>
        <w:tc>
          <w:tcPr>
            <w:tcW w:type="dxa" w:w="1271"/>
          </w:tcPr>
          <w:p>
            <w:r>
              <w:t>P5</w:t>
            </w:r>
          </w:p>
        </w:tc>
        <w:tc>
          <w:tcPr>
            <w:tcW w:type="dxa" w:w="1271"/>
          </w:tcPr>
          <w:p>
            <w:r>
              <w:t>H103</w:t>
            </w:r>
          </w:p>
        </w:tc>
        <w:tc>
          <w:tcPr>
            <w:tcW w:type="dxa" w:w="1271"/>
          </w:tcPr>
          <w:p>
            <w:r>
              <w:t>高</w:t>
            </w:r>
          </w:p>
        </w:tc>
        <w:tc>
          <w:tcPr>
            <w:tcW w:type="dxa" w:w="1271"/>
          </w:tcPr>
          <w:p>
            <w:r>
              <w:t>+8.60 pp</w:t>
            </w:r>
          </w:p>
        </w:tc>
        <w:tc>
          <w:tcPr>
            <w:tcW w:type="dxa" w:w="1271"/>
          </w:tcPr>
          <w:p>
            <w:r>
              <w:t>690 / +9.47 pp</w:t>
            </w:r>
          </w:p>
        </w:tc>
        <w:tc>
          <w:tcPr>
            <w:tcW w:type="dxa" w:w="1271"/>
          </w:tcPr>
          <w:p>
            <w:r>
              <w:t>方向复现</w:t>
            </w:r>
          </w:p>
        </w:tc>
        <w:tc>
          <w:tcPr>
            <w:tcW w:type="dxa" w:w="1271"/>
          </w:tcPr>
          <w:p>
            <w:r>
              <w:t>7.94 pp</w:t>
            </w:r>
          </w:p>
        </w:tc>
        <w:tc>
          <w:tcPr>
            <w:tcW w:type="dxa" w:w="1271"/>
          </w:tcPr>
          <w:p>
            <w:r>
              <w:t>轻量证据收集</w:t>
            </w:r>
          </w:p>
        </w:tc>
      </w:tr>
      <w:tr>
        <w:tc>
          <w:tcPr>
            <w:tcW w:type="dxa" w:w="1271"/>
          </w:tcPr>
          <w:p>
            <w:r>
              <w:t>P6</w:t>
            </w:r>
          </w:p>
        </w:tc>
        <w:tc>
          <w:tcPr>
            <w:tcW w:type="dxa" w:w="1271"/>
          </w:tcPr>
          <w:p>
            <w:r>
              <w:t>H036</w:t>
            </w:r>
          </w:p>
        </w:tc>
        <w:tc>
          <w:tcPr>
            <w:tcW w:type="dxa" w:w="1271"/>
          </w:tcPr>
          <w:p>
            <w:r>
              <w:t>高</w:t>
            </w:r>
          </w:p>
        </w:tc>
        <w:tc>
          <w:tcPr>
            <w:tcW w:type="dxa" w:w="1271"/>
          </w:tcPr>
          <w:p>
            <w:r>
              <w:t>+6.40 pp</w:t>
            </w:r>
          </w:p>
        </w:tc>
        <w:tc>
          <w:tcPr>
            <w:tcW w:type="dxa" w:w="1271"/>
          </w:tcPr>
          <w:p>
            <w:r>
              <w:t>1169 / +5.83 pp</w:t>
            </w:r>
          </w:p>
        </w:tc>
        <w:tc>
          <w:tcPr>
            <w:tcW w:type="dxa" w:w="1271"/>
          </w:tcPr>
          <w:p>
            <w:r>
              <w:t>方向复现</w:t>
            </w:r>
          </w:p>
        </w:tc>
        <w:tc>
          <w:tcPr>
            <w:tcW w:type="dxa" w:w="1271"/>
          </w:tcPr>
          <w:p>
            <w:r>
              <w:t>6.15 pp</w:t>
            </w:r>
          </w:p>
        </w:tc>
        <w:tc>
          <w:tcPr>
            <w:tcW w:type="dxa" w:w="1271"/>
          </w:tcPr>
          <w:p>
            <w:r>
              <w:t>轻量证据收集</w:t>
            </w:r>
          </w:p>
        </w:tc>
      </w:tr>
    </w:tbl>
    <w:p>
      <w:r>
        <w:t>优先级解释：P1–P3为完整试玩，按保守强度从高到低排执行顺序；P4–P6为轻量证据队列，同样按保守强度排序。该排序不改变FrozenSix。</w:t>
      </w:r>
    </w:p>
    <w:p>
      <w:pPr>
        <w:pStyle w:val="Heading1"/>
      </w:pPr>
      <w:r>
        <w:t>2. 证据如何产生</w:t>
      </w:r>
    </w:p>
    <w:p>
      <w:pPr>
        <w:pStyle w:val="ListBullet"/>
      </w:pPr>
      <w:r>
        <w:t>训练集92,650行；训练总体+1方胜率52.65%。分层键为cluster、game_mode、game_type；层内训练n≥100用层+1方胜率，否则回退总体率。</w:t>
      </w:r>
    </w:p>
    <w:p>
      <w:pPr>
        <w:pStyle w:val="ListBullet"/>
      </w:pPr>
      <w:r>
        <w:t>英雄在+1方时预期胜率为p，在-1方时为1−p；校正差=英雄原始胜率−其每次出场预期率的平均值。它是分层关联差，不是英雄的因果效果。</w:t>
      </w:r>
    </w:p>
    <w:p>
      <w:pPr>
        <w:pStyle w:val="ListBullet"/>
      </w:pPr>
      <w:r>
        <w:t>训练合格门槛为总出场≥1,000且每方≥200；109项合格。按校正差取最高三项H057/H103/H036及最低三项H091/H061/H080，并列按H编号。</w:t>
      </w:r>
    </w:p>
    <w:p>
      <w:pPr>
        <w:pStyle w:val="ListBullet"/>
      </w:pPr>
      <w:r>
        <w:t>测试集逐行使用训练基线；没有重估层率、没有重选六项。95% Wilson区间仅描述原始胜率，未给校正差显著性区间。</w:t>
      </w:r>
    </w:p>
    <w:p>
      <w:pPr>
        <w:pStyle w:val="Heading1"/>
      </w:pPr>
      <w:r>
        <w:t>3. 六项证据与受控假设</w:t>
      </w:r>
    </w:p>
    <w:p>
      <w:pPr>
        <w:pStyle w:val="Heading2"/>
      </w:pPr>
      <w:r>
        <w:t>H057｜P3｜完整试玩</w:t>
      </w:r>
    </w:p>
    <w:p>
      <w:r>
        <w:t>训练：n=8,320（+1方4,229/-1方4,091），原始胜率60.85% [Wilson 59.80%, 61.90%]，预期率50.07%，校正差+10.78 pp。测试：n=917，原始胜率59.98% [Wilson 56.77%, 63.10%]，校正差+10.00 pp，方向复现；分方差+1=+13.62 pp、-1=+6.37 pp，回退5.23%。</w:t>
      </w:r>
    </w:p>
    <w:p>
      <w:r>
        <w:t>假设：在固定玩家水平、阵营、模式及阵容功能后，强制纳入H057的阵容胜率仍高于匹配替代阵容。</w:t>
      </w:r>
    </w:p>
    <w:p>
      <w:r>
        <w:t>混杂检查：阵营、cluster×mode×type、玩家技能与组队、选取顺序/克制关系、阵容功能、版本与比赛时长。历史数据没有玩家或角色信息，试玩必须主动平衡并记录。</w:t>
      </w:r>
    </w:p>
    <w:p>
      <w:r>
        <w:t>对照：按技能分层配对；同一阵容功能槽使用预先锁定的匹配替代英雄；随机分配目标英雄条件并交换+1/-1方，统一版本、模式与沟通条件。</w:t>
      </w:r>
    </w:p>
    <w:p>
      <w:r>
        <w:t>指标：主要：目标英雄条件相对对照的配对胜率差；诊断：10/20分钟净值与经验差、击杀参与、塔/肉山等目标转化、阵亡与比赛时长。</w:t>
      </w:r>
    </w:p>
    <w:p>
      <w:r>
        <w:t>判定：支持：配对胜率差&gt;0，且两方及主要预设层方向一致；推翻：差≤0或仅由单方/单层驱动。</w:t>
      </w:r>
    </w:p>
    <w:p>
      <w:pPr>
        <w:pStyle w:val="Heading2"/>
      </w:pPr>
      <w:r>
        <w:t>H103｜P5｜轻量证据收集</w:t>
      </w:r>
    </w:p>
    <w:p>
      <w:r>
        <w:t>训练：n=5,959（+1方2,944/-1方3,015），原始胜率58.57% [Wilson 57.31%, 59.81%]，预期率49.96%，校正差+8.60 pp。测试：n=690，原始胜率59.42% [Wilson 55.71%, 63.02%]，校正差+9.47 pp，方向复现；分方差+1=+7.60 pp、-1=+11.29 pp，回退5.22%。</w:t>
      </w:r>
    </w:p>
    <w:p>
      <w:r>
        <w:t>假设：在固定玩家水平、阵营、模式及阵容功能后，强制纳入H103的阵容胜率仍高于匹配替代阵容。</w:t>
      </w:r>
    </w:p>
    <w:p>
      <w:r>
        <w:t>混杂检查：阵营、cluster×mode×type、玩家技能与组队、选取顺序/克制关系、阵容功能、版本与比赛时长。历史数据没有玩家或角色信息，试玩必须主动平衡并记录。</w:t>
      </w:r>
    </w:p>
    <w:p>
      <w:r>
        <w:t>对照：按技能分层配对；同一阵容功能槽使用预先锁定的匹配替代英雄；随机分配目标英雄条件并交换+1/-1方，统一版本、模式与沟通条件。</w:t>
      </w:r>
    </w:p>
    <w:p>
      <w:r>
        <w:t>指标：主要：目标英雄条件相对对照的配对胜率差；诊断：10/20分钟净值与经验差、击杀参与、塔/肉山等目标转化、阵亡与比赛时长。</w:t>
      </w:r>
    </w:p>
    <w:p>
      <w:r>
        <w:t>判定：支持：配对胜率差&gt;0，且两方及主要预设层方向一致；推翻：差≤0或仅由单方/单层驱动。</w:t>
      </w:r>
    </w:p>
    <w:p>
      <w:pPr>
        <w:pStyle w:val="Heading2"/>
      </w:pPr>
      <w:r>
        <w:t>H036｜P6｜轻量证据收集</w:t>
      </w:r>
    </w:p>
    <w:p>
      <w:r>
        <w:t>训练：n=10,729（+1方5,393/-1方5,336），原始胜率56.45% [Wilson 55.50%, 57.38%]，预期率50.05%，校正差+6.40 pp。测试：n=1,169，原始胜率55.77% [Wilson 52.91%, 58.60%]，校正差+5.83 pp，方向复现；分方差+1=+5.47 pp、-1=+6.16 pp，回退4.36%。</w:t>
      </w:r>
    </w:p>
    <w:p>
      <w:r>
        <w:t>假设：在固定玩家水平、阵营、模式及阵容功能后，强制纳入H036的阵容胜率仍高于匹配替代阵容。</w:t>
      </w:r>
    </w:p>
    <w:p>
      <w:r>
        <w:t>混杂检查：阵营、cluster×mode×type、玩家技能与组队、选取顺序/克制关系、阵容功能、版本与比赛时长。历史数据没有玩家或角色信息，试玩必须主动平衡并记录。</w:t>
      </w:r>
    </w:p>
    <w:p>
      <w:r>
        <w:t>对照：按技能分层配对；同一阵容功能槽使用预先锁定的匹配替代英雄；随机分配目标英雄条件并交换+1/-1方，统一版本、模式与沟通条件。</w:t>
      </w:r>
    </w:p>
    <w:p>
      <w:r>
        <w:t>指标：主要：目标英雄条件相对对照的配对胜率差；诊断：10/20分钟净值与经验差、击杀参与、塔/肉山等目标转化、阵亡与比赛时长。</w:t>
      </w:r>
    </w:p>
    <w:p>
      <w:r>
        <w:t>判定：支持：配对胜率差&gt;0，且两方及主要预设层方向一致；推翻：差≤0或仅由单方/单层驱动。</w:t>
      </w:r>
    </w:p>
    <w:p>
      <w:pPr>
        <w:pStyle w:val="Heading2"/>
      </w:pPr>
      <w:r>
        <w:t>H091｜P1｜完整试玩</w:t>
      </w:r>
    </w:p>
    <w:p>
      <w:r>
        <w:t>训练：n=1,592（+1方840/-1方752），原始胜率35.55% [Wilson 33.24%, 37.94%]，预期率50.22%，校正差-14.67 pp。测试：n=198，原始胜率43.43% [Wilson 36.72%, 50.40%]，校正差-6.44 pp，方向复现；分方差+1=-8.19 pp、-1=-4.83 pp，回退10.10%。</w:t>
      </w:r>
    </w:p>
    <w:p>
      <w:r>
        <w:t>假设：在固定玩家水平、阵营、模式及阵容功能后，强制纳入H091的阵容胜率仍低于匹配替代阵容。</w:t>
      </w:r>
    </w:p>
    <w:p>
      <w:r>
        <w:t>混杂检查：阵营、cluster×mode×type、玩家技能与组队、选取顺序/克制关系、阵容功能、版本与比赛时长。历史数据没有玩家或角色信息，试玩必须主动平衡并记录。</w:t>
      </w:r>
    </w:p>
    <w:p>
      <w:r>
        <w:t>对照：按技能分层配对；同一阵容功能槽使用预先锁定的匹配替代英雄；随机分配目标英雄条件并交换+1/-1方，统一版本、模式与沟通条件。</w:t>
      </w:r>
    </w:p>
    <w:p>
      <w:r>
        <w:t>指标：主要：目标英雄条件相对对照的配对胜率差；诊断：10/20分钟净值与经验差、击杀参与、塔/肉山等目标转化、阵亡与比赛时长。</w:t>
      </w:r>
    </w:p>
    <w:p>
      <w:r>
        <w:t>判定：支持：配对胜率差&lt;0，且两方及主要预设层方向一致；推翻：差≥0或仅由单方/单层驱动。</w:t>
      </w:r>
    </w:p>
    <w:p>
      <w:pPr>
        <w:pStyle w:val="Heading2"/>
      </w:pPr>
      <w:r>
        <w:t>H061｜P2｜完整试玩</w:t>
      </w:r>
    </w:p>
    <w:p>
      <w:r>
        <w:t>训练：n=1,960（+1方978/-1方982），原始胜率37.60% [Wilson 35.48%, 39.77%]，预期率49.99%，校正差-12.39 pp。测试：n=210，原始胜率47.14% [Wilson 40.50%, 53.89%]，校正差-2.67 pp，方向复现；分方差+1=+0.23 pp、-1=-5.25 pp，回退14.29%。</w:t>
      </w:r>
    </w:p>
    <w:p>
      <w:r>
        <w:t>假设：在固定玩家水平、阵营、模式及阵容功能后，强制纳入H061的阵容胜率仍低于匹配替代阵容。</w:t>
      </w:r>
    </w:p>
    <w:p>
      <w:r>
        <w:t>混杂检查：阵营、cluster×mode×type、玩家技能与组队、选取顺序/克制关系、阵容功能、版本与比赛时长。历史数据没有玩家或角色信息，试玩必须主动平衡并记录。</w:t>
      </w:r>
    </w:p>
    <w:p>
      <w:r>
        <w:t>对照：按技能分层配对；同一阵容功能槽使用预先锁定的匹配替代英雄；随机分配目标英雄条件并交换+1/-1方，统一版本、模式与沟通条件。</w:t>
      </w:r>
    </w:p>
    <w:p>
      <w:r>
        <w:t>指标：主要：目标英雄条件相对对照的配对胜率差；诊断：10/20分钟净值与经验差、击杀参与、塔/肉山等目标转化、阵亡与比赛时长。</w:t>
      </w:r>
    </w:p>
    <w:p>
      <w:r>
        <w:t>判定：支持：配对胜率差&lt;0，且两方及主要预设层方向一致；推翻：差≥0或仅由单方/单层驱动。</w:t>
      </w:r>
    </w:p>
    <w:p>
      <w:pPr>
        <w:pStyle w:val="Heading2"/>
      </w:pPr>
      <w:r>
        <w:t>H080｜P4｜轻量证据收集</w:t>
      </w:r>
    </w:p>
    <w:p>
      <w:r>
        <w:t>训练：n=1,575（+1方806/-1方769），原始胜率38.60% [Wilson 36.23%, 41.03%]，预期率50.02%，校正差-11.42 pp。测试：n=173，原始胜率35.26% [Wilson 28.53%, 42.63%]，校正差-14.33 pp，方向复现；分方差+1=-12.88 pp、-1=-15.46 pp，回退6.36%。</w:t>
      </w:r>
    </w:p>
    <w:p>
      <w:r>
        <w:t>假设：在固定玩家水平、阵营、模式及阵容功能后，强制纳入H080的阵容胜率仍低于匹配替代阵容。</w:t>
      </w:r>
    </w:p>
    <w:p>
      <w:r>
        <w:t>混杂检查：阵营、cluster×mode×type、玩家技能与组队、选取顺序/克制关系、阵容功能、版本与比赛时长。历史数据没有玩家或角色信息，试玩必须主动平衡并记录。</w:t>
      </w:r>
    </w:p>
    <w:p>
      <w:r>
        <w:t>对照：按技能分层配对；同一阵容功能槽使用预先锁定的匹配替代英雄；随机分配目标英雄条件并交换+1/-1方，统一版本、模式与沟通条件。</w:t>
      </w:r>
    </w:p>
    <w:p>
      <w:r>
        <w:t>指标：主要：目标英雄条件相对对照的配对胜率差；诊断：10/20分钟净值与经验差、击杀参与、塔/肉山等目标转化、阵亡与比赛时长。</w:t>
      </w:r>
    </w:p>
    <w:p>
      <w:r>
        <w:t>判定：支持：配对胜率差&lt;0，且两方及主要预设层方向一致；推翻：差≥0或仅由单方/单层驱动。</w:t>
      </w:r>
    </w:p>
    <w:p>
      <w:pPr>
        <w:pStyle w:val="Heading1"/>
      </w:pPr>
      <w:r>
        <w:t>4. 完整试玩执行设计</w:t>
      </w:r>
    </w:p>
    <w:p>
      <w:pPr>
        <w:pStyle w:val="ListBullet"/>
      </w:pPr>
      <w:r>
        <w:t>对象：H091、H061、H057。先由数据工程/设计共同完成H列到内部英雄ID的可审计映射；在此之前不得按JSON列表位置猜英雄名称。</w:t>
      </w:r>
    </w:p>
    <w:p>
      <w:pPr>
        <w:pStyle w:val="ListBullet"/>
      </w:pPr>
      <w:r>
        <w:t>设计：预先锁定替代英雄与阵容模板；按玩家技能块随机目标/对照条件；进行阵营交换；版本、模式、赛制、语音和休息时间一致。避免同一队连续承受单一条件。</w:t>
      </w:r>
    </w:p>
    <w:p>
      <w:pPr>
        <w:pStyle w:val="ListBullet"/>
      </w:pPr>
      <w:r>
        <w:t>分析：以配对胜率差为主要指标，分别报告两方和预设cluster/mode/type层；诊断指标不替代主要指标。预先规定最小场次与停止规则，避免看结果停测。</w:t>
      </w:r>
    </w:p>
    <w:p>
      <w:pPr>
        <w:pStyle w:val="ListBullet"/>
      </w:pPr>
      <w:r>
        <w:t>升级条件：试玩主要指标符合预设方向，且两方及主要预设层一致；若方向翻转、仅单方/单层成立，或执行平衡失败，则推翻/降级该假设。即使支持，也只进入后续数值研究，不直接上线改动。</w:t>
      </w:r>
    </w:p>
    <w:p>
      <w:pPr>
        <w:pStyle w:val="Heading1"/>
      </w:pPr>
      <w:r>
        <w:t>5. LeaveClusterOut与资金/人力安排</w:t>
      </w:r>
    </w:p>
    <w:p>
      <w:r>
        <w:t>原训练样本≥1,000的cluster共21个。每次整cluster剔除后，在剩余训练重新构建同一分层基线；稀疏层仍回退该次剩余总体率；FrozenSix不变。任何支持不足都保留在资格判断中。</w:t>
      </w:r>
    </w:p>
    <w:p>
      <w:pPr>
        <w:pStyle w:val="ListBullet"/>
      </w:pPr>
      <w:r>
        <w:t>H057：21/21次支持合格，21/21次严格同号；最小剩余支持=7,614（+1方3,871/-1方3,743）；保守强度=10.55 pp。</w:t>
      </w:r>
    </w:p>
    <w:p>
      <w:pPr>
        <w:pStyle w:val="ListBullet"/>
      </w:pPr>
      <w:r>
        <w:t>H103：21/21次支持合格，21/21次严格同号；最小剩余支持=5,047（+1方2,498/-1方2,549）；保守强度=7.94 pp。</w:t>
      </w:r>
    </w:p>
    <w:p>
      <w:pPr>
        <w:pStyle w:val="ListBullet"/>
      </w:pPr>
      <w:r>
        <w:t>H036：21/21次支持合格，21/21次严格同号；最小剩余支持=9,618（+1方4,812/-1方4,806）；保守强度=6.15 pp。</w:t>
      </w:r>
    </w:p>
    <w:p>
      <w:pPr>
        <w:pStyle w:val="ListBullet"/>
      </w:pPr>
      <w:r>
        <w:t>H091：21/21次支持合格，21/21次严格同号；最小剩余支持=1,467（+1方772/-1方694）；保守强度=14.11 pp。</w:t>
      </w:r>
    </w:p>
    <w:p>
      <w:pPr>
        <w:pStyle w:val="ListBullet"/>
      </w:pPr>
      <w:r>
        <w:t>H061：21/21次支持合格，21/21次严格同号；最小剩余支持=1,822（+1方909/-1方904）；保守强度=11.93 pp。</w:t>
      </w:r>
    </w:p>
    <w:p>
      <w:pPr>
        <w:pStyle w:val="ListBullet"/>
      </w:pPr>
      <w:r>
        <w:t>H080：21/21次支持合格，21/21次严格同号；最小剩余支持=1,454（+1方739/-1方708）；保守强度=11.09 pp。</w:t>
      </w:r>
    </w:p>
    <w:p>
      <w:r>
        <w:t>资源：把三个完整试玩名额及其QA主持、配对招募、遥测复核资源投给H091/H061/H057；其余三项只做回放标注、现版本可识别性检查与小规模内部观察，不占完整试玩槽。</w:t>
      </w:r>
    </w:p>
    <w:p>
      <w:pPr>
        <w:pStyle w:val="Heading1"/>
      </w:pPr>
      <w:r>
        <w:t>6. DecisionAudit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r>
              <w:rPr>
                <w:b/>
                <w:color w:val="FFFFFF"/>
              </w:rPr>
              <w:t>主张</w:t>
            </w:r>
          </w:p>
        </w:tc>
        <w:tc>
          <w:tcPr>
            <w:tcW w:type="dxa" w:w="3389"/>
            <w:vAlign w:val="center"/>
            <w:shd w:fill="17365D"/>
          </w:tcPr>
          <w:p>
            <w:r>
              <w:rPr>
                <w:b/>
                <w:color w:val="FFFFFF"/>
              </w:rPr>
              <w:t>结论</w:t>
            </w:r>
          </w:p>
        </w:tc>
        <w:tc>
          <w:tcPr>
            <w:tcW w:type="dxa" w:w="3389"/>
            <w:vAlign w:val="center"/>
            <w:shd w:fill="17365D"/>
          </w:tcPr>
          <w:p>
            <w:r>
              <w:rPr>
                <w:b/>
                <w:color w:val="FFFFFF"/>
              </w:rPr>
              <w:t>原因与落实</w:t>
            </w:r>
          </w:p>
        </w:tc>
      </w:tr>
      <w:tr>
        <w:tc>
          <w:tcPr>
            <w:tcW w:type="dxa" w:w="3389"/>
          </w:tcPr>
          <w:p>
            <w:r>
              <w:t>GA-D1</w:t>
            </w:r>
          </w:p>
        </w:tc>
        <w:tc>
          <w:tcPr>
            <w:tcW w:type="dxa" w:w="3389"/>
          </w:tcPr>
          <w:p>
            <w:r>
              <w:t>驳回</w:t>
            </w:r>
          </w:p>
        </w:tc>
        <w:tc>
          <w:tcPr>
            <w:tcW w:type="dxa" w:w="3389"/>
          </w:tcPr>
          <w:p>
            <w:r>
              <w:t>保留集同号不能证明cluster不主导。应以逐cluster剔除检验；本次六项通过，但只支持所检验训练情景。</w:t>
            </w:r>
          </w:p>
        </w:tc>
      </w:tr>
      <w:tr>
        <w:tc>
          <w:tcPr>
            <w:tcW w:type="dxa" w:w="3389"/>
          </w:tcPr>
          <w:p>
            <w:r>
              <w:t>GA-D2</w:t>
            </w:r>
          </w:p>
        </w:tc>
        <w:tc>
          <w:tcPr>
            <w:tcW w:type="dxa" w:w="3389"/>
          </w:tcPr>
          <w:p>
            <w:r>
              <w:t>驳回</w:t>
            </w:r>
          </w:p>
        </w:tc>
        <w:tc>
          <w:tcPr>
            <w:tcW w:type="dxa" w:w="3389"/>
          </w:tcPr>
          <w:p>
            <w:r>
              <w:t>测试集不得重估基线或替换FrozenSix。完整名额仅由训练LeaveClusterOut资格和目标函数确定。</w:t>
            </w:r>
          </w:p>
        </w:tc>
      </w:tr>
      <w:tr>
        <w:tc>
          <w:tcPr>
            <w:tcW w:type="dxa" w:w="3389"/>
          </w:tcPr>
          <w:p>
            <w:r>
              <w:t>三个完整条件</w:t>
            </w:r>
          </w:p>
        </w:tc>
        <w:tc>
          <w:tcPr>
            <w:tcW w:type="dxa" w:w="3389"/>
          </w:tcPr>
          <w:p>
            <w:r>
              <w:t>已写入设计</w:t>
            </w:r>
          </w:p>
        </w:tc>
        <w:tc>
          <w:tcPr>
            <w:tcW w:type="dxa" w:w="3389"/>
          </w:tcPr>
          <w:p>
            <w:r>
              <w:t>每次支持合格；每次严格同号；有资格项中恰选三项、至少一高一低并最大化保守强度和。</w:t>
            </w:r>
          </w:p>
        </w:tc>
      </w:tr>
    </w:tbl>
    <w:p>
      <w:pPr>
        <w:pStyle w:val="Heading1"/>
      </w:pPr>
      <w:r>
        <w:t>7. 解释边界与反证</w:t>
      </w:r>
    </w:p>
    <w:p>
      <w:pPr>
        <w:pStyle w:val="ListBullet"/>
      </w:pPr>
      <w:r>
        <w:t>时间边界：UCI称所有比赛来自2016-08-13约两小时窗口；不能直接泛化到2026或当前版本。</w:t>
      </w:r>
    </w:p>
    <w:p>
      <w:pPr>
        <w:pStyle w:val="ListBullet"/>
      </w:pPr>
      <w:r>
        <w:t>缺失边界：没有版本号、玩家技能/组队、位置/角色、选取顺序、装备与对局过程，无法排除这些混杂；校正只覆盖三个编码分层变量。</w:t>
      </w:r>
    </w:p>
    <w:p>
      <w:pPr>
        <w:pStyle w:val="ListBullet"/>
      </w:pPr>
      <w:r>
        <w:t>英雄映射：JSON有112条显式ID记录、缺ID 24且列表并非按ID严格排序；没有独立证据证明H列=JSON ID，因此只报告H001–H113。</w:t>
      </w:r>
    </w:p>
    <w:p>
      <w:pPr>
        <w:pStyle w:val="ListBullet"/>
      </w:pPr>
      <w:r>
        <w:t>去重：train/test均无split内精确重复，跨split也无117列精确交集；但CSV无match ID，同一编码不必是同一真实对局，也不能据此宣称排除所有真实对局泄漏。</w:t>
      </w:r>
    </w:p>
    <w:p>
      <w:pPr>
        <w:pStyle w:val="ListBullet"/>
      </w:pPr>
      <w:r>
        <w:t>多重比较：六项从113项探索性比较中挑选；方向复现与Wilson区间均不等于校正差显著，更不等于因果。反向或无差异的受控试玩结果应被视为有效反证。</w:t>
      </w:r>
    </w:p>
    <w:p>
      <w:pPr>
        <w:pStyle w:val="Heading1"/>
      </w:pPr>
      <w:r>
        <w:t>8. 来源核验</w:t>
      </w:r>
    </w:p>
    <w:p>
      <w:pPr>
        <w:pStyle w:val="ListBullet"/>
      </w:pPr>
      <w:r>
        <w:t>UCI网页实际引用采集代码：https://gist.github.com/da-steve101/1a7ae319448db431715bd75391a66e1b</w:t>
      </w:r>
    </w:p>
    <w:p>
      <w:pPr>
        <w:pStyle w:val="ListBullet"/>
      </w:pPr>
      <w:r>
        <w:t>UCI网页实际引用英雄映射：https://github.com/kronusme/dota2-api/blob/master/data/heroes.json</w:t>
      </w:r>
    </w:p>
    <w:p>
      <w:pPr>
        <w:pStyle w:val="ListBullet"/>
      </w:pPr>
      <w:r>
        <w:t>采集代码页面所示脚本输出15列：match ID、结果、cluster、模式名、lobby名、10个hero_id；它并不直接输出UCI的117列指示矩阵。</w:t>
      </w:r>
    </w:p>
    <w:p>
      <w:pPr>
        <w:pStyle w:val="ListBullet"/>
      </w:pPr>
      <w:r>
        <w:t>完整可复算数字见balance_review.xlsx：DataAudit、TrainSignals、FrozenSix、HoldoutReview、LeaveClusterOut、TestAllocation、DecisionAudit、Sources。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UCI 2016历史快照｜仅用于试玩优先级，不是上线削弱/增强名单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DOTA 2 平衡复核｜受控试玩决策简报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