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跨财政年度集中培训</w:t>
        <w:br/>
        <w:t>批准建议</w:t>
      </w:r>
    </w:p>
    <w:p>
      <w:r>
        <w:rPr>
          <w:b/>
        </w:rPr>
        <w:t>行程 2025-09-28—2025-10-02  |  决策版 2026-10-23</w:t>
      </w:r>
    </w:p>
    <w:p>
      <w:pPr>
        <w:spacing w:after="120"/>
        <w:shd w:fill="00A6A6"/>
      </w:pPr>
      <w:r>
        <w:rPr>
          <w:b/>
          <w:color w:val="FFFFFF"/>
        </w:rPr>
        <w:t xml:space="preserve">结论速览  </w:t>
      </w:r>
      <w:r>
        <w:t xml:space="preserve"> 未获年度额度调整：批准 Phoenix 18人，$40,480.86。若书面批准FY2026→FY2025额度调整$1,427.56：批准 Phoenix 24人，$51,174.48。</w:t>
      </w:r>
    </w:p>
    <w:p>
      <w:pPr>
        <w:pStyle w:val="Heading1"/>
      </w:pPr>
      <w:r>
        <w:t>1. 建议与准确批准条件</w:t>
      </w:r>
    </w:p>
    <w:p>
      <w:pPr>
        <w:pStyle w:val="ListBullet"/>
      </w:pPr>
      <w:r>
        <w:t>无需调整的最优可批方案：Phoenix，18人。基准基础成本$38,553.20，5%储备$1,927.66，批准总额$40,480.86；FY2025/FY2026含储备分别$33,920.67/$6,560.19，均在原额度内。</w:t>
      </w:r>
    </w:p>
    <w:p>
      <w:pPr>
        <w:pStyle w:val="ListBullet"/>
      </w:pPr>
      <w:r>
        <w:t>调整获批后的最优方案：Phoenix，24人。基准基础成本$48,737.60，5%储备$2,436.88，批准总额$51,174.48；FY2025/FY2026含储备$42,427.56/$8,746.92。仅在预算官书面批准把$1,427.56额度从FY2026移至FY2025（调整后额度$42,427.56/$10,572.44），并完成下列阻断项时可批。</w:t>
      </w:r>
    </w:p>
    <w:p>
      <w:pPr>
        <w:pStyle w:val="ListBullet"/>
      </w:pPr>
      <w:r>
        <w:t>不得把“总额低于$53,000”当作跨年度调剂授权。调整未获批时，Phoenix 24不能批准；其FY2025超原额度$1,427.56。</w:t>
      </w:r>
    </w:p>
    <w:p>
      <w:pPr>
        <w:pStyle w:val="Heading1"/>
      </w:pPr>
      <w:r>
        <w:t>2. 六方案总预算与压力情景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地点</w:t>
            </w:r>
          </w:p>
        </w:tc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人数</w:t>
            </w:r>
          </w:p>
        </w:tc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基准总额</w:t>
            </w:r>
          </w:p>
        </w:tc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基准余量</w:t>
            </w:r>
          </w:p>
        </w:tc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机票+20%总额</w:t>
            </w:r>
          </w:p>
        </w:tc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压力余量</w:t>
            </w:r>
          </w:p>
        </w:tc>
        <w:tc>
          <w:tcPr>
            <w:tcW w:type="dxa" w:w="14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年度结论</w:t>
            </w:r>
          </w:p>
        </w:tc>
      </w:tr>
      <w:tr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Phoenix, AZ</w:t>
            </w:r>
          </w:p>
        </w:tc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$40,480.86</w:t>
            </w:r>
          </w:p>
        </w:tc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$12,519.14</w:t>
            </w:r>
          </w:p>
        </w:tc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$42,408.66</w:t>
            </w:r>
          </w:p>
        </w:tc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$10,591.34</w:t>
            </w:r>
          </w:p>
        </w:tc>
        <w:tc>
          <w:tcPr>
            <w:tcW w:type="dxa" w:w="1481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4"/>
              </w:rPr>
              <w:t>无需调整可行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Denver, 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$44,295.05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$8,704.95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$45,580.25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$7,419.75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无需调整可行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Chicago, IL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$45,519.10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$7,480.90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$47,068.90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$5,931.10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无需调整可行</w:t>
            </w:r>
          </w:p>
        </w:tc>
      </w:tr>
      <w:tr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Phoenix, AZ</w:t>
            </w:r>
          </w:p>
        </w:tc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$51,174.48</w:t>
            </w:r>
          </w:p>
        </w:tc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$1,825.52</w:t>
            </w:r>
          </w:p>
        </w:tc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$53,744.88</w:t>
            </w:r>
          </w:p>
        </w:tc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−$744.88</w:t>
            </w:r>
          </w:p>
        </w:tc>
        <w:tc>
          <w:tcPr>
            <w:tcW w:type="dxa" w:w="1481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4"/>
              </w:rPr>
              <w:t>基准需调$1,427.56；压力无解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Denver, 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$55,385.06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−$2,385.06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$57,098.66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−$4,098.66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总额超限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Chicago, IL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$57,367.13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−$4,367.13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$59,433.53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−$6,433.53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总额超限</w:t>
            </w:r>
          </w:p>
        </w:tc>
      </w:tr>
    </w:tbl>
    <w:p>
      <w:r>
        <w:rPr>
          <w:b/>
        </w:rPr>
        <w:t>排序说明：</w:t>
      </w:r>
      <w:r>
        <w:t>上表按原总预算从低到高排列，保留六方案对照。决策仍先最大化可合规且资金可用的人数，再在同人数下选最低总额；英文名仅用于完全并列。所有住宿报价均不超过逐日上限。</w:t>
      </w:r>
    </w:p>
    <w:p>
      <w:pPr>
        <w:pStyle w:val="Heading1"/>
      </w:pPr>
      <w:r>
        <w:t>3. 分年度资金与压力执行</w:t>
      </w:r>
    </w:p>
    <w:p>
      <w:pPr>
        <w:pStyle w:val="ListBullet"/>
      </w:pPr>
      <w:r>
        <w:t>内部归集：机票、固定场地费全部FY2025；当地交通各半；注册费FY2025/FY2026按2/3、1/3；住宿及税按住宿当晚；M&amp;IE按旅行日期。两年基础分别加5%储备。此为本练习管理约定，不作联邦拨款法结论。</w:t>
      </w:r>
    </w:p>
    <w:p>
      <w:pPr>
        <w:pStyle w:val="ListBullet"/>
      </w:pPr>
      <w:r>
        <w:t>Phoenix 24压力：机票上涨20%后总额$53,744.88，超总上限$744.88；FY2025含储备$44,997.96，缺口$3,997.96，超过$1,500调整上限，因此无解。不得仅固定原储备；压力储备必须按新基础重算。</w:t>
      </w:r>
    </w:p>
    <w:p>
      <w:pPr>
        <w:pStyle w:val="ListBullet"/>
      </w:pPr>
      <w:r>
        <w:t>执行措施：票价锁定前不得无条件承诺24人。若Phoenix 24实际机票高于预算，应立即重算；只有总额≤$53,000且所需年度调整≤$1,500并获批时才可继续。否则降至Phoenix 18，或重新取得更低机票/场地报价并重新认证资金；不得削减5%储备来制造可行性。</w:t>
      </w:r>
    </w:p>
    <w:p>
      <w:pPr>
        <w:pStyle w:val="ListBullet"/>
      </w:pPr>
      <w:r>
        <w:t>18人三地在机票+20%下仍满足总额和原年度额度；最低仍为Phoenix 18（$42,408.66）。</w:t>
      </w:r>
    </w:p>
    <w:p>
      <w:pPr>
        <w:pStyle w:val="Heading1"/>
      </w:pPr>
      <w:r>
        <w:t>4. 每日费率与餐费处理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地点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FY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住宿上限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报价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税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全额M&amp;IE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最终M&amp;IE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Chicago, IL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$223.00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$218.00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$26.16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$31.00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Chicago, IL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2025-09-29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$223.00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$218.00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$26.16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$66.00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Chicago, IL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$223.00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$218.00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$26.16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$66.00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Chicago, IL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2025-10-01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sz w:val="13"/>
              </w:rPr>
              <w:t>FY2026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$223.00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$218.00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$26.16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$28.00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Chicago, IL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2025-10-02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sz w:val="13"/>
              </w:rPr>
              <w:t>FY2026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$43.00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Denver, CO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$209.00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$25.08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$31.00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Denver, CO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2025-09-29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$209.00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$25.08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$66.00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Denver, CO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$209.00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$25.08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$66.00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Denver, CO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2025-10-01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sz w:val="13"/>
              </w:rPr>
              <w:t>FY2026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$215.00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$209.00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$25.08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$28.00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Denver, CO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2025-10-02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sz w:val="13"/>
              </w:rPr>
              <w:t>FY2026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$92.00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$43.00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Phoenix, AZ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$160.00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$155.00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$18.60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$86.00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$28.50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Phoenix, AZ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2025-09-29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$160.00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$155.00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$18.60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$86.00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$63.00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Phoenix, AZ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2025-09-30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FY2025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$160.00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$155.00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$18.60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$86.00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$63.00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Phoenix, AZ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2025-10-01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sz w:val="13"/>
              </w:rPr>
              <w:t>FY2026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$160.00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$155.00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$18.60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$86.00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$27.00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Phoenix, AZ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2025-10-02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sz w:val="13"/>
              </w:rPr>
              <w:t>FY2026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$86.00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$41.50</w:t>
            </w:r>
          </w:p>
        </w:tc>
      </w:tr>
    </w:tbl>
    <w:p>
      <w:pPr>
        <w:pStyle w:val="ListBullet"/>
      </w:pPr>
      <w:r>
        <w:t>9/28（首日）：先取全额M&amp;IE的75%，再扣欢迎晚餐的完整分餐额；9/29、9/30扣注册费所含午餐；10/1扣午餐和政府晚餐；10/2（末日）先取75%，再扣完整午餐额。任何扣减不得使M&amp;IE低于$5杂费额。</w:t>
      </w:r>
    </w:p>
    <w:p>
      <w:pPr>
        <w:pStyle w:val="ListBullet"/>
      </w:pPr>
      <w:r>
        <w:t>酒店免费早餐依据§301-11.17不扣；咖啡、水果等茶歇依据§301-74.7、§301-74.21不扣。无人有饮食例外。</w:t>
      </w:r>
    </w:p>
    <w:p>
      <w:pPr>
        <w:pStyle w:val="ListBullet"/>
      </w:pPr>
      <w:r>
        <w:t>住宿按实际报价预算，而非按上限支出。住宿税不含在上限内；本表以可报销报价×12%估算。若实际住宿超过上限，税也只能按可报销住宿成本对应部分报销，且应事前处理实际费用授权。</w:t>
      </w:r>
    </w:p>
    <w:p>
      <w:pPr>
        <w:pStyle w:val="Heading1"/>
      </w:pPr>
      <w:r>
        <w:t>5. 费率证据与跨年判断</w:t>
      </w:r>
    </w:p>
    <w:p>
      <w:pPr>
        <w:pStyle w:val="ListBullet"/>
      </w:pPr>
      <w:r>
        <w:t>GSA网页快照实际链接：FY2025费率 https://www.gsa.gov/system/files/FY2025_PerDiemMasterRatesFile.xlsx；FY2026费率 https://www.gsa.gov/system/files/FY2026_PerDiemMasterRatesFile.xlsx；FY2025起M&amp;IE拆分 https://www.gsa.gov/system/files/FY%202025%20MIE%20Breakdown.docx。链接用于把网页下载页与离线原件建立引用关系。</w:t>
      </w:r>
    </w:p>
    <w:p>
      <w:pPr>
        <w:pStyle w:val="ListBullet"/>
      </w:pPr>
      <w:r>
        <w:t>原表行号：Chicago FY2025 Master!258 / FY2026 Master!254；Denver 109 / 107；Phoenix 22 / 18。费率按旅行日、财政年度、县和季节匹配。</w:t>
      </w:r>
    </w:p>
    <w:p>
      <w:pPr>
        <w:pStyle w:val="ListBullet"/>
      </w:pPr>
      <w:r>
        <w:t>跨年没有实际费率变化：两版本中三地适用住宿上限与M&amp;IE均相同（Chicago $223/$92；Denver $215/$92；Phoenix $160/$86）。跨年影响来自FY2025/FY2026资金归集，而不是日费率变化。</w:t>
      </w:r>
    </w:p>
    <w:p>
      <w:pPr>
        <w:pStyle w:val="Heading1"/>
      </w:pPr>
      <w:r>
        <w:t>6. 批准前阻断项与证据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20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拟负责角色</w:t>
            </w:r>
          </w:p>
        </w:tc>
        <w:tc>
          <w:tcPr>
            <w:tcW w:type="dxa" w:w="20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0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期限</w:t>
            </w:r>
          </w:p>
        </w:tc>
        <w:tc>
          <w:tcPr>
            <w:tcW w:type="dxa" w:w="20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阻断?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年度资金认证/额度调整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预算官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分年度资金认证；若选24人，$1,427.56书面调整批准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出票、签约前</w:t>
            </w:r>
          </w:p>
        </w:tc>
        <w:tc>
          <w:tcPr>
            <w:tcW w:type="dxa" w:w="2074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差旅授权/实际费用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授权官员/差旅审批员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逐人旅行授权；报价≤上限证明；若超标则事前实际费用授权及成本比较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出票前</w:t>
            </w:r>
          </w:p>
        </w:tc>
        <w:tc>
          <w:tcPr>
            <w:tcW w:type="dxa" w:w="2074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住宿安全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会务协调员/设施安全负责人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场所列名或符合Hotel and Motel Fire Safety Act要求的核验记录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订房/签约前</w:t>
            </w:r>
          </w:p>
        </w:tc>
        <w:tc>
          <w:tcPr>
            <w:tcW w:type="dxa" w:w="2074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采购与场地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合同官/采购负责人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竞争/例外文件、可用政府设施比较、价格与条款、签署权限、场地需求核验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承诺资金或签约前</w:t>
            </w:r>
          </w:p>
        </w:tc>
        <w:tc>
          <w:tcPr>
            <w:tcW w:type="dxa" w:w="2074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餐食与注册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会务协调员/差旅审批员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合同/议程确认各餐日期及注册费所含午餐；茶歇清单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最终旅行授权前</w:t>
            </w:r>
          </w:p>
        </w:tc>
        <w:tc>
          <w:tcPr>
            <w:tcW w:type="dxa" w:w="2074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报价有效性与机票阈值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会务协调员/预算官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书面酒店/机票/交通报价与重算后的Options、FundingBridge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出票当日及任何变价后</w:t>
            </w:r>
          </w:p>
        </w:tc>
        <w:tc>
          <w:tcPr>
            <w:tcW w:type="dxa" w:w="2074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sz w:val="14"/>
              </w:rPr>
              <w:t>是</w:t>
            </w:r>
          </w:p>
        </w:tc>
      </w:tr>
    </w:tbl>
    <w:p>
      <w:r>
        <w:rPr>
          <w:b/>
        </w:rPr>
        <w:t>边界说明：</w:t>
      </w:r>
      <w:r>
        <w:t>“资金认证、角色分工、报价重算、内部截止点”等为本练习建议的内部控制，不称为FTR明文。FTR依据包括§301-11.17、.18、.27、.100、.101、.300–.303及§301-74.6、.7、.21、.22。场所正式住宿/消防与采购资格尚未核实，报价本身不构成批准。</w:t>
      </w:r>
    </w:p>
    <w:p>
      <w:pPr>
        <w:pStyle w:val="Heading1"/>
      </w:pPr>
      <w:r>
        <w:t>7. DecisionAudit摘要</w:t>
      </w:r>
    </w:p>
    <w:p>
      <w:pPr>
        <w:pStyle w:val="ListBullet"/>
      </w:pPr>
      <w:r>
        <w:t>GO-D1：不成立。总额合规不授权跨年度挪用；Phoenix 24必须另获$1,427.56调整批准。</w:t>
      </w:r>
    </w:p>
    <w:p>
      <w:pPr>
        <w:pStyle w:val="ListBullet"/>
      </w:pPr>
      <w:r>
        <w:t>GO-D2：不成立。5%储备适用于更新后的全部基础费用；机票增加时储备同步增加。</w:t>
      </w:r>
    </w:p>
    <w:p>
      <w:r>
        <w:rPr>
          <w:i/>
        </w:rPr>
        <w:t>完整逐日明细、六方案公式、年度桥接、主张审计和来源见 conference_budget.xlsx；补证责任见 approval_register.csv。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内部预算练习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472C4"/>
        <w:sz w:val="16"/>
      </w:rPr>
      <w:t>CONFERENCE BUDGET |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 w:ascii="Aptos" w:hAnsi="Aptos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