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新英格兰三州季度信用复核备忘录</w:t>
      </w:r>
    </w:p>
    <w:p>
      <w:pPr>
        <w:jc w:val="center"/>
      </w:pPr>
      <w:r>
        <w:t>静态快照：2024-06-30 至 2025-06-30｜八个核查名额｜冻结公共数据回顾性桌面演练</w:t>
      </w:r>
    </w:p>
    <w:p>
      <w:r>
        <w:rPr>
          <w:b/>
        </w:rPr>
        <w:t>结论（已算出的事实）</w:t>
      </w:r>
      <w:r>
        <w:t xml:space="preserve">　三州观察口径代理率由 0.2986% 升至 0.3682%，变化 0.0696 个百分点。固定共同银行、以起点资产加权的变化为 0.0630 个百分点；余下 0.0066 个百分点仅称为范围和权重变化影响。该代理率不是监管评级，也不是贷款不良率，不能据此断言违规或倒闭。</w:t>
      </w:r>
    </w:p>
    <w:p>
      <w:pPr>
        <w:pStyle w:val="Heading1"/>
      </w:pPr>
      <w:r>
        <w:t>一、数据、定义与审计</w:t>
      </w:r>
    </w:p>
    <w:p>
      <w:r>
        <w:t>金融CSV共746行、25个原字段，14个实际季度（2022-03-31至2025-06-30），54个不同CERT，CERT+REPDTE重复键为0。各季银行数依次为51、52、53、54、54、54、54、54、54、54、54、54、52、52；实际季度序列无缺口。机构快照355行、CERT重复为0；746行金融记录全部按CERT一对一命中，另有301个机构CERT未进入金融样本。ACTIVE来自更晚快照，未用于删除历史银行或回填历史状态；名称未作主键。</w:t>
      </w:r>
    </w:p>
    <w:p>
      <w:r>
        <w:t>字段定义取自所附FDIC API文档页实际链接的 risview_properties.yaml 与 institution_properties.yaml 本地快照：ASSET为总资产；DEP为总存款；EQ为权益资本；LNLSGR为贷款及租赁总额；LNRE为房地产贷款；P9ASSET为逾期90日以上总资产；NAASSET为非应计总资产；ROA为税后净收入（已年化）占平均总资产；RBCRWAJ为总风险资本比率（PCA）。按题设，金额按千美元、原始ROA/RBCRWAJ按百分数；不重复乘100或再年化。</w:t>
      </w:r>
    </w:p>
    <w:p>
      <w:r>
        <w:t>代理率 = 100×(P9ASSET+NAASSET)/ASSET；房地产贷款占比 = 100×LNRE/LNLSGR；权益/资产 = 100×EQ/ASSET。默认原始数据无上述三项代理输入缺失或零ASSET；模型将空值与0区分，任何无效行均从聚合、共同集合和排序剔除并在DataAudit报告。</w:t>
      </w:r>
    </w:p>
    <w:p>
      <w:pPr>
        <w:pStyle w:val="Heading1"/>
      </w:pPr>
      <w:r>
        <w:t>二、端点观察与固定集合桥接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130"/>
          </w:tcPr>
          <w:p>
            <w:r>
              <w:t>组</w:t>
            </w:r>
          </w:p>
        </w:tc>
        <w:tc>
          <w:tcPr>
            <w:tcW w:type="dxa" w:w="1130"/>
          </w:tcPr>
          <w:p>
            <w:r>
              <w:t>观察起点%</w:t>
            </w:r>
          </w:p>
        </w:tc>
        <w:tc>
          <w:tcPr>
            <w:tcW w:type="dxa" w:w="1130"/>
          </w:tcPr>
          <w:p>
            <w:r>
              <w:t>观察终点%</w:t>
            </w:r>
          </w:p>
        </w:tc>
        <w:tc>
          <w:tcPr>
            <w:tcW w:type="dxa" w:w="1130"/>
          </w:tcPr>
          <w:p>
            <w:r>
              <w:t>变化pp</w:t>
            </w:r>
          </w:p>
        </w:tc>
        <w:tc>
          <w:tcPr>
            <w:tcW w:type="dxa" w:w="1130"/>
          </w:tcPr>
          <w:p>
            <w:r>
              <w:t>固定起点%</w:t>
            </w:r>
          </w:p>
        </w:tc>
        <w:tc>
          <w:tcPr>
            <w:tcW w:type="dxa" w:w="1130"/>
          </w:tcPr>
          <w:p>
            <w:r>
              <w:t>固定终点%</w:t>
            </w:r>
          </w:p>
        </w:tc>
        <w:tc>
          <w:tcPr>
            <w:tcW w:type="dxa" w:w="1130"/>
          </w:tcPr>
          <w:p>
            <w:r>
              <w:t>固定变化pp</w:t>
            </w:r>
          </w:p>
        </w:tc>
        <w:tc>
          <w:tcPr>
            <w:tcW w:type="dxa" w:w="1130"/>
          </w:tcPr>
          <w:p>
            <w:r>
              <w:t>余差pp</w:t>
            </w:r>
          </w:p>
        </w:tc>
        <w:tc>
          <w:tcPr>
            <w:tcW w:type="dxa" w:w="1130"/>
          </w:tcPr>
          <w:p>
            <w:r>
              <w:t>共同N</w:t>
            </w:r>
          </w:p>
        </w:tc>
      </w:tr>
      <w:tr>
        <w:tc>
          <w:tcPr>
            <w:tcW w:type="dxa" w:w="1130"/>
          </w:tcPr>
          <w:p>
            <w:r>
              <w:t>ALL</w:t>
            </w:r>
          </w:p>
        </w:tc>
        <w:tc>
          <w:tcPr>
            <w:tcW w:type="dxa" w:w="1130"/>
          </w:tcPr>
          <w:p>
            <w:r>
              <w:t>0.2986</w:t>
            </w:r>
          </w:p>
        </w:tc>
        <w:tc>
          <w:tcPr>
            <w:tcW w:type="dxa" w:w="1130"/>
          </w:tcPr>
          <w:p>
            <w:r>
              <w:t>0.3682</w:t>
            </w:r>
          </w:p>
        </w:tc>
        <w:tc>
          <w:tcPr>
            <w:tcW w:type="dxa" w:w="1130"/>
          </w:tcPr>
          <w:p>
            <w:r>
              <w:t>0.0696</w:t>
            </w:r>
          </w:p>
        </w:tc>
        <w:tc>
          <w:tcPr>
            <w:tcW w:type="dxa" w:w="1130"/>
          </w:tcPr>
          <w:p>
            <w:r>
              <w:t>0.2943</w:t>
            </w:r>
          </w:p>
        </w:tc>
        <w:tc>
          <w:tcPr>
            <w:tcW w:type="dxa" w:w="1130"/>
          </w:tcPr>
          <w:p>
            <w:r>
              <w:t>0.3574</w:t>
            </w:r>
          </w:p>
        </w:tc>
        <w:tc>
          <w:tcPr>
            <w:tcW w:type="dxa" w:w="1130"/>
          </w:tcPr>
          <w:p>
            <w:r>
              <w:t>0.0630</w:t>
            </w:r>
          </w:p>
        </w:tc>
        <w:tc>
          <w:tcPr>
            <w:tcW w:type="dxa" w:w="1130"/>
          </w:tcPr>
          <w:p>
            <w:r>
              <w:t>0.0066</w:t>
            </w:r>
          </w:p>
        </w:tc>
        <w:tc>
          <w:tcPr>
            <w:tcW w:type="dxa" w:w="1130"/>
          </w:tcPr>
          <w:p>
            <w:r>
              <w:t>52</w:t>
            </w:r>
          </w:p>
        </w:tc>
      </w:tr>
      <w:tr>
        <w:tc>
          <w:tcPr>
            <w:tcW w:type="dxa" w:w="1130"/>
          </w:tcPr>
          <w:p>
            <w:r>
              <w:t>ME</w:t>
            </w:r>
          </w:p>
        </w:tc>
        <w:tc>
          <w:tcPr>
            <w:tcW w:type="dxa" w:w="1130"/>
          </w:tcPr>
          <w:p>
            <w:r>
              <w:t>0.2642</w:t>
            </w:r>
          </w:p>
        </w:tc>
        <w:tc>
          <w:tcPr>
            <w:tcW w:type="dxa" w:w="1130"/>
          </w:tcPr>
          <w:p>
            <w:r>
              <w:t>0.3674</w:t>
            </w:r>
          </w:p>
        </w:tc>
        <w:tc>
          <w:tcPr>
            <w:tcW w:type="dxa" w:w="1130"/>
          </w:tcPr>
          <w:p>
            <w:r>
              <w:t>0.1032</w:t>
            </w:r>
          </w:p>
        </w:tc>
        <w:tc>
          <w:tcPr>
            <w:tcW w:type="dxa" w:w="1130"/>
          </w:tcPr>
          <w:p>
            <w:r>
              <w:t>0.2555</w:t>
            </w:r>
          </w:p>
        </w:tc>
        <w:tc>
          <w:tcPr>
            <w:tcW w:type="dxa" w:w="1130"/>
          </w:tcPr>
          <w:p>
            <w:r>
              <w:t>0.3530</w:t>
            </w:r>
          </w:p>
        </w:tc>
        <w:tc>
          <w:tcPr>
            <w:tcW w:type="dxa" w:w="1130"/>
          </w:tcPr>
          <w:p>
            <w:r>
              <w:t>0.0975</w:t>
            </w:r>
          </w:p>
        </w:tc>
        <w:tc>
          <w:tcPr>
            <w:tcW w:type="dxa" w:w="1130"/>
          </w:tcPr>
          <w:p>
            <w:r>
              <w:t>0.0057</w:t>
            </w:r>
          </w:p>
        </w:tc>
        <w:tc>
          <w:tcPr>
            <w:tcW w:type="dxa" w:w="1130"/>
          </w:tcPr>
          <w:p>
            <w:r>
              <w:t>22</w:t>
            </w:r>
          </w:p>
        </w:tc>
      </w:tr>
      <w:tr>
        <w:tc>
          <w:tcPr>
            <w:tcW w:type="dxa" w:w="1130"/>
          </w:tcPr>
          <w:p>
            <w:r>
              <w:t>NH</w:t>
            </w:r>
          </w:p>
        </w:tc>
        <w:tc>
          <w:tcPr>
            <w:tcW w:type="dxa" w:w="1130"/>
          </w:tcPr>
          <w:p>
            <w:r>
              <w:t>0.3651</w:t>
            </w:r>
          </w:p>
        </w:tc>
        <w:tc>
          <w:tcPr>
            <w:tcW w:type="dxa" w:w="1130"/>
          </w:tcPr>
          <w:p>
            <w:r>
              <w:t>0.3060</w:t>
            </w:r>
          </w:p>
        </w:tc>
        <w:tc>
          <w:tcPr>
            <w:tcW w:type="dxa" w:w="1130"/>
          </w:tcPr>
          <w:p>
            <w:r>
              <w:t>-0.0591</w:t>
            </w:r>
          </w:p>
        </w:tc>
        <w:tc>
          <w:tcPr>
            <w:tcW w:type="dxa" w:w="1130"/>
          </w:tcPr>
          <w:p>
            <w:r>
              <w:t>0.3719</w:t>
            </w:r>
          </w:p>
        </w:tc>
        <w:tc>
          <w:tcPr>
            <w:tcW w:type="dxa" w:w="1130"/>
          </w:tcPr>
          <w:p>
            <w:r>
              <w:t>0.2990</w:t>
            </w:r>
          </w:p>
        </w:tc>
        <w:tc>
          <w:tcPr>
            <w:tcW w:type="dxa" w:w="1130"/>
          </w:tcPr>
          <w:p>
            <w:r>
              <w:t>-0.0728</w:t>
            </w:r>
          </w:p>
        </w:tc>
        <w:tc>
          <w:tcPr>
            <w:tcW w:type="dxa" w:w="1130"/>
          </w:tcPr>
          <w:p>
            <w:r>
              <w:t>0.0137</w:t>
            </w:r>
          </w:p>
        </w:tc>
        <w:tc>
          <w:tcPr>
            <w:tcW w:type="dxa" w:w="1130"/>
          </w:tcPr>
          <w:p>
            <w:r>
              <w:t>18</w:t>
            </w:r>
          </w:p>
        </w:tc>
      </w:tr>
      <w:tr>
        <w:tc>
          <w:tcPr>
            <w:tcW w:type="dxa" w:w="1130"/>
          </w:tcPr>
          <w:p>
            <w:r>
              <w:t>VT</w:t>
            </w:r>
          </w:p>
        </w:tc>
        <w:tc>
          <w:tcPr>
            <w:tcW w:type="dxa" w:w="1130"/>
          </w:tcPr>
          <w:p>
            <w:r>
              <w:t>0.3386</w:t>
            </w:r>
          </w:p>
        </w:tc>
        <w:tc>
          <w:tcPr>
            <w:tcW w:type="dxa" w:w="1130"/>
          </w:tcPr>
          <w:p>
            <w:r>
              <w:t>0.4947</w:t>
            </w:r>
          </w:p>
        </w:tc>
        <w:tc>
          <w:tcPr>
            <w:tcW w:type="dxa" w:w="1130"/>
          </w:tcPr>
          <w:p>
            <w:r>
              <w:t>0.1561</w:t>
            </w:r>
          </w:p>
        </w:tc>
        <w:tc>
          <w:tcPr>
            <w:tcW w:type="dxa" w:w="1130"/>
          </w:tcPr>
          <w:p>
            <w:r>
              <w:t>0.3386</w:t>
            </w:r>
          </w:p>
        </w:tc>
        <w:tc>
          <w:tcPr>
            <w:tcW w:type="dxa" w:w="1130"/>
          </w:tcPr>
          <w:p>
            <w:r>
              <w:t>0.4954</w:t>
            </w:r>
          </w:p>
        </w:tc>
        <w:tc>
          <w:tcPr>
            <w:tcW w:type="dxa" w:w="1130"/>
          </w:tcPr>
          <w:p>
            <w:r>
              <w:t>0.1568</w:t>
            </w:r>
          </w:p>
        </w:tc>
        <w:tc>
          <w:tcPr>
            <w:tcW w:type="dxa" w:w="1130"/>
          </w:tcPr>
          <w:p>
            <w:r>
              <w:t>-0.0007</w:t>
            </w:r>
          </w:p>
        </w:tc>
        <w:tc>
          <w:tcPr>
            <w:tcW w:type="dxa" w:w="1130"/>
          </w:tcPr>
          <w:p>
            <w:r>
              <w:t>12</w:t>
            </w:r>
          </w:p>
        </w:tc>
      </w:tr>
    </w:tbl>
    <w:p>
      <w:r>
        <w:t>固定集合要求两个端点代理均有效，州别按2025-06-30固定，权重固定为2024-06-30资产。NH退出CERT 14240，起点资产1,270,696千美元；ME退出CERT 17748，起点资产1,653,584千美元；无进入银行。区域退出合计2家、2,924,280千美元。范围和权重余差不作无证据的因果拆分。完整季度聚合、端点银行明细及原始行号见工作簿PeerQuarter、BankQuarter和EndpointBridge。</w:t>
      </w:r>
    </w:p>
    <w:p>
      <w:pPr>
        <w:pStyle w:val="Heading1"/>
      </w:pPr>
      <w:r>
        <w:t>三、八个核查名额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130"/>
          </w:tcPr>
          <w:p>
            <w:r>
              <w:t>序</w:t>
            </w:r>
          </w:p>
        </w:tc>
        <w:tc>
          <w:tcPr>
            <w:tcW w:type="dxa" w:w="1130"/>
          </w:tcPr>
          <w:p>
            <w:r>
              <w:t>CERT/州</w:t>
            </w:r>
          </w:p>
        </w:tc>
        <w:tc>
          <w:tcPr>
            <w:tcW w:type="dxa" w:w="1130"/>
          </w:tcPr>
          <w:p>
            <w:r>
              <w:t>银行</w:t>
            </w:r>
          </w:p>
        </w:tc>
        <w:tc>
          <w:tcPr>
            <w:tcW w:type="dxa" w:w="1130"/>
          </w:tcPr>
          <w:p>
            <w:r>
              <w:t>代理率%</w:t>
            </w:r>
          </w:p>
        </w:tc>
        <w:tc>
          <w:tcPr>
            <w:tcW w:type="dxa" w:w="1130"/>
          </w:tcPr>
          <w:p>
            <w:r>
              <w:t>变化pp</w:t>
            </w:r>
          </w:p>
        </w:tc>
        <w:tc>
          <w:tcPr>
            <w:tcW w:type="dxa" w:w="1130"/>
          </w:tcPr>
          <w:p>
            <w:r>
              <w:t>RE占比%</w:t>
            </w:r>
          </w:p>
        </w:tc>
        <w:tc>
          <w:tcPr>
            <w:tcW w:type="dxa" w:w="1130"/>
          </w:tcPr>
          <w:p>
            <w:r>
              <w:t>权益/资产%</w:t>
            </w:r>
          </w:p>
        </w:tc>
        <w:tc>
          <w:tcPr>
            <w:tcW w:type="dxa" w:w="1130"/>
          </w:tcPr>
          <w:p>
            <w:r>
              <w:t>ROA%</w:t>
            </w:r>
          </w:p>
        </w:tc>
        <w:tc>
          <w:tcPr>
            <w:tcW w:type="dxa" w:w="1130"/>
          </w:tcPr>
          <w:p>
            <w:r>
              <w:t>RBCRWAJ%</w:t>
            </w:r>
          </w:p>
        </w:tc>
      </w:tr>
      <w:tr>
        <w:tc>
          <w:tcPr>
            <w:tcW w:type="dxa" w:w="1130"/>
          </w:tcPr>
          <w:p>
            <w:r>
              <w:t>1</w:t>
            </w:r>
          </w:p>
        </w:tc>
        <w:tc>
          <w:tcPr>
            <w:tcW w:type="dxa" w:w="1130"/>
          </w:tcPr>
          <w:p>
            <w:r>
              <w:t>6280/VT</w:t>
            </w:r>
          </w:p>
        </w:tc>
        <w:tc>
          <w:tcPr>
            <w:tcW w:type="dxa" w:w="1130"/>
          </w:tcPr>
          <w:p>
            <w:r>
              <w:t>THE FIRST NATIONAL BANK OF ORWELL</w:t>
            </w:r>
          </w:p>
        </w:tc>
        <w:tc>
          <w:tcPr>
            <w:tcW w:type="dxa" w:w="1130"/>
          </w:tcPr>
          <w:p>
            <w:r>
              <w:t>1.6577</w:t>
            </w:r>
          </w:p>
        </w:tc>
        <w:tc>
          <w:tcPr>
            <w:tcW w:type="dxa" w:w="1130"/>
          </w:tcPr>
          <w:p>
            <w:r>
              <w:t>0.1737</w:t>
            </w:r>
          </w:p>
        </w:tc>
        <w:tc>
          <w:tcPr>
            <w:tcW w:type="dxa" w:w="1130"/>
          </w:tcPr>
          <w:p>
            <w:r>
              <w:t>88.85</w:t>
            </w:r>
          </w:p>
        </w:tc>
        <w:tc>
          <w:tcPr>
            <w:tcW w:type="dxa" w:w="1130"/>
          </w:tcPr>
          <w:p>
            <w:r>
              <w:t>11.34</w:t>
            </w:r>
          </w:p>
        </w:tc>
        <w:tc>
          <w:tcPr>
            <w:tcW w:type="dxa" w:w="1130"/>
          </w:tcPr>
          <w:p>
            <w:r>
              <w:t>1.3665</w:t>
            </w:r>
          </w:p>
        </w:tc>
        <w:tc>
          <w:tcPr>
            <w:tcW w:type="dxa" w:w="1130"/>
          </w:tcPr>
          <w:p>
            <w:r>
              <w:t>0.0000</w:t>
            </w:r>
          </w:p>
        </w:tc>
      </w:tr>
      <w:tr>
        <w:tc>
          <w:tcPr>
            <w:tcW w:type="dxa" w:w="1130"/>
          </w:tcPr>
          <w:p>
            <w:r>
              <w:t>2</w:t>
            </w:r>
          </w:p>
        </w:tc>
        <w:tc>
          <w:tcPr>
            <w:tcW w:type="dxa" w:w="1130"/>
          </w:tcPr>
          <w:p>
            <w:r>
              <w:t>59289/NH</w:t>
            </w:r>
          </w:p>
        </w:tc>
        <w:tc>
          <w:tcPr>
            <w:tcW w:type="dxa" w:w="1130"/>
          </w:tcPr>
          <w:p>
            <w:r>
              <w:t>WALDEN MUTUAL BANK</w:t>
            </w:r>
          </w:p>
        </w:tc>
        <w:tc>
          <w:tcPr>
            <w:tcW w:type="dxa" w:w="1130"/>
          </w:tcPr>
          <w:p>
            <w:r>
              <w:t>1.9419</w:t>
            </w:r>
          </w:p>
        </w:tc>
        <w:tc>
          <w:tcPr>
            <w:tcW w:type="dxa" w:w="1130"/>
          </w:tcPr>
          <w:p>
            <w:r>
              <w:t>1.6341</w:t>
            </w:r>
          </w:p>
        </w:tc>
        <w:tc>
          <w:tcPr>
            <w:tcW w:type="dxa" w:w="1130"/>
          </w:tcPr>
          <w:p>
            <w:r>
              <w:t>36.18</w:t>
            </w:r>
          </w:p>
        </w:tc>
        <w:tc>
          <w:tcPr>
            <w:tcW w:type="dxa" w:w="1130"/>
          </w:tcPr>
          <w:p>
            <w:r>
              <w:t>10.75</w:t>
            </w:r>
          </w:p>
        </w:tc>
        <w:tc>
          <w:tcPr>
            <w:tcW w:type="dxa" w:w="1130"/>
          </w:tcPr>
          <w:p>
            <w:r>
              <w:t>-0.2400</w:t>
            </w:r>
          </w:p>
        </w:tc>
        <w:tc>
          <w:tcPr>
            <w:tcW w:type="dxa" w:w="1130"/>
          </w:tcPr>
          <w:p>
            <w:r>
              <w:t>0.0000</w:t>
            </w:r>
          </w:p>
        </w:tc>
      </w:tr>
      <w:tr>
        <w:tc>
          <w:tcPr>
            <w:tcW w:type="dxa" w:w="1130"/>
          </w:tcPr>
          <w:p>
            <w:r>
              <w:t>3</w:t>
            </w:r>
          </w:p>
        </w:tc>
        <w:tc>
          <w:tcPr>
            <w:tcW w:type="dxa" w:w="1130"/>
          </w:tcPr>
          <w:p>
            <w:r>
              <w:t>29636/ME</w:t>
            </w:r>
          </w:p>
        </w:tc>
        <w:tc>
          <w:tcPr>
            <w:tcW w:type="dxa" w:w="1130"/>
          </w:tcPr>
          <w:p>
            <w:r>
              <w:t>FIRST FEDERAL SAVINGS AND LOAN ASSOCIATION OF BATH</w:t>
            </w:r>
          </w:p>
        </w:tc>
        <w:tc>
          <w:tcPr>
            <w:tcW w:type="dxa" w:w="1130"/>
          </w:tcPr>
          <w:p>
            <w:r>
              <w:t>1.6716</w:t>
            </w:r>
          </w:p>
        </w:tc>
        <w:tc>
          <w:tcPr>
            <w:tcW w:type="dxa" w:w="1130"/>
          </w:tcPr>
          <w:p>
            <w:r>
              <w:t>0.1565</w:t>
            </w:r>
          </w:p>
        </w:tc>
        <w:tc>
          <w:tcPr>
            <w:tcW w:type="dxa" w:w="1130"/>
          </w:tcPr>
          <w:p>
            <w:r>
              <w:t>97.76</w:t>
            </w:r>
          </w:p>
        </w:tc>
        <w:tc>
          <w:tcPr>
            <w:tcW w:type="dxa" w:w="1130"/>
          </w:tcPr>
          <w:p>
            <w:r>
              <w:t>14.90</w:t>
            </w:r>
          </w:p>
        </w:tc>
        <w:tc>
          <w:tcPr>
            <w:tcW w:type="dxa" w:w="1130"/>
          </w:tcPr>
          <w:p>
            <w:r>
              <w:t>0.2346</w:t>
            </w:r>
          </w:p>
        </w:tc>
        <w:tc>
          <w:tcPr>
            <w:tcW w:type="dxa" w:w="1130"/>
          </w:tcPr>
          <w:p>
            <w:r>
              <w:t>27.1672</w:t>
            </w:r>
          </w:p>
        </w:tc>
      </w:tr>
      <w:tr>
        <w:tc>
          <w:tcPr>
            <w:tcW w:type="dxa" w:w="1130"/>
          </w:tcPr>
          <w:p>
            <w:r>
              <w:t>4</w:t>
            </w:r>
          </w:p>
        </w:tc>
        <w:tc>
          <w:tcPr>
            <w:tcW w:type="dxa" w:w="1130"/>
          </w:tcPr>
          <w:p>
            <w:r>
              <w:t>59086/NH</w:t>
            </w:r>
          </w:p>
        </w:tc>
        <w:tc>
          <w:tcPr>
            <w:tcW w:type="dxa" w:w="1130"/>
          </w:tcPr>
          <w:p>
            <w:r>
              <w:t>PRIMARY BANK</w:t>
            </w:r>
          </w:p>
        </w:tc>
        <w:tc>
          <w:tcPr>
            <w:tcW w:type="dxa" w:w="1130"/>
          </w:tcPr>
          <w:p>
            <w:r>
              <w:t>1.9080</w:t>
            </w:r>
          </w:p>
        </w:tc>
        <w:tc>
          <w:tcPr>
            <w:tcW w:type="dxa" w:w="1130"/>
          </w:tcPr>
          <w:p>
            <w:r>
              <w:t>1.3356</w:t>
            </w:r>
          </w:p>
        </w:tc>
        <w:tc>
          <w:tcPr>
            <w:tcW w:type="dxa" w:w="1130"/>
          </w:tcPr>
          <w:p>
            <w:r>
              <w:t>80.01</w:t>
            </w:r>
          </w:p>
        </w:tc>
        <w:tc>
          <w:tcPr>
            <w:tcW w:type="dxa" w:w="1130"/>
          </w:tcPr>
          <w:p>
            <w:r>
              <w:t>14.60</w:t>
            </w:r>
          </w:p>
        </w:tc>
        <w:tc>
          <w:tcPr>
            <w:tcW w:type="dxa" w:w="1130"/>
          </w:tcPr>
          <w:p>
            <w:r>
              <w:t>1.5569</w:t>
            </w:r>
          </w:p>
        </w:tc>
        <w:tc>
          <w:tcPr>
            <w:tcW w:type="dxa" w:w="1130"/>
          </w:tcPr>
          <w:p>
            <w:r>
              <w:t>16.7806</w:t>
            </w:r>
          </w:p>
        </w:tc>
      </w:tr>
      <w:tr>
        <w:tc>
          <w:tcPr>
            <w:tcW w:type="dxa" w:w="1130"/>
          </w:tcPr>
          <w:p>
            <w:r>
              <w:t>5</w:t>
            </w:r>
          </w:p>
        </w:tc>
        <w:tc>
          <w:tcPr>
            <w:tcW w:type="dxa" w:w="1130"/>
          </w:tcPr>
          <w:p>
            <w:r>
              <w:t>30878/ME</w:t>
            </w:r>
          </w:p>
        </w:tc>
        <w:tc>
          <w:tcPr>
            <w:tcW w:type="dxa" w:w="1130"/>
          </w:tcPr>
          <w:p>
            <w:r>
              <w:t>BAR HARBOR SAVINGS AND LOAN ASSOCIATION</w:t>
            </w:r>
          </w:p>
        </w:tc>
        <w:tc>
          <w:tcPr>
            <w:tcW w:type="dxa" w:w="1130"/>
          </w:tcPr>
          <w:p>
            <w:r>
              <w:t>1.3679</w:t>
            </w:r>
          </w:p>
        </w:tc>
        <w:tc>
          <w:tcPr>
            <w:tcW w:type="dxa" w:w="1130"/>
          </w:tcPr>
          <w:p>
            <w:r>
              <w:t>-0.4092</w:t>
            </w:r>
          </w:p>
        </w:tc>
        <w:tc>
          <w:tcPr>
            <w:tcW w:type="dxa" w:w="1130"/>
          </w:tcPr>
          <w:p>
            <w:r>
              <w:t>99.80</w:t>
            </w:r>
          </w:p>
        </w:tc>
        <w:tc>
          <w:tcPr>
            <w:tcW w:type="dxa" w:w="1130"/>
          </w:tcPr>
          <w:p>
            <w:r>
              <w:t>12.02</w:t>
            </w:r>
          </w:p>
        </w:tc>
        <w:tc>
          <w:tcPr>
            <w:tcW w:type="dxa" w:w="1130"/>
          </w:tcPr>
          <w:p>
            <w:r>
              <w:t>0.0020</w:t>
            </w:r>
          </w:p>
        </w:tc>
        <w:tc>
          <w:tcPr>
            <w:tcW w:type="dxa" w:w="1130"/>
          </w:tcPr>
          <w:p>
            <w:r>
              <w:t>0.0000</w:t>
            </w:r>
          </w:p>
        </w:tc>
      </w:tr>
      <w:tr>
        <w:tc>
          <w:tcPr>
            <w:tcW w:type="dxa" w:w="1130"/>
          </w:tcPr>
          <w:p>
            <w:r>
              <w:t>6</w:t>
            </w:r>
          </w:p>
        </w:tc>
        <w:tc>
          <w:tcPr>
            <w:tcW w:type="dxa" w:w="1130"/>
          </w:tcPr>
          <w:p>
            <w:r>
              <w:t>19836/ME</w:t>
            </w:r>
          </w:p>
        </w:tc>
        <w:tc>
          <w:tcPr>
            <w:tcW w:type="dxa" w:w="1130"/>
          </w:tcPr>
          <w:p>
            <w:r>
              <w:t>FRANKLIN SAVINGS BANK</w:t>
            </w:r>
          </w:p>
        </w:tc>
        <w:tc>
          <w:tcPr>
            <w:tcW w:type="dxa" w:w="1130"/>
          </w:tcPr>
          <w:p>
            <w:r>
              <w:t>1.1152</w:t>
            </w:r>
          </w:p>
        </w:tc>
        <w:tc>
          <w:tcPr>
            <w:tcW w:type="dxa" w:w="1130"/>
          </w:tcPr>
          <w:p>
            <w:r>
              <w:t>0.3002</w:t>
            </w:r>
          </w:p>
        </w:tc>
        <w:tc>
          <w:tcPr>
            <w:tcW w:type="dxa" w:w="1130"/>
          </w:tcPr>
          <w:p>
            <w:r>
              <w:t>91.35</w:t>
            </w:r>
          </w:p>
        </w:tc>
        <w:tc>
          <w:tcPr>
            <w:tcW w:type="dxa" w:w="1130"/>
          </w:tcPr>
          <w:p>
            <w:r>
              <w:t>17.28</w:t>
            </w:r>
          </w:p>
        </w:tc>
        <w:tc>
          <w:tcPr>
            <w:tcW w:type="dxa" w:w="1130"/>
          </w:tcPr>
          <w:p>
            <w:r>
              <w:t>0.8395</w:t>
            </w:r>
          </w:p>
        </w:tc>
        <w:tc>
          <w:tcPr>
            <w:tcW w:type="dxa" w:w="1130"/>
          </w:tcPr>
          <w:p>
            <w:r>
              <w:t>23.0549</w:t>
            </w:r>
          </w:p>
        </w:tc>
      </w:tr>
      <w:tr>
        <w:tc>
          <w:tcPr>
            <w:tcW w:type="dxa" w:w="1130"/>
          </w:tcPr>
          <w:p>
            <w:r>
              <w:t>7</w:t>
            </w:r>
          </w:p>
        </w:tc>
        <w:tc>
          <w:tcPr>
            <w:tcW w:type="dxa" w:w="1130"/>
          </w:tcPr>
          <w:p>
            <w:r>
              <w:t>14158/VT</w:t>
            </w:r>
          </w:p>
        </w:tc>
        <w:tc>
          <w:tcPr>
            <w:tcW w:type="dxa" w:w="1130"/>
          </w:tcPr>
          <w:p>
            <w:r>
              <w:t>UNION BANK</w:t>
            </w:r>
          </w:p>
        </w:tc>
        <w:tc>
          <w:tcPr>
            <w:tcW w:type="dxa" w:w="1130"/>
          </w:tcPr>
          <w:p>
            <w:r>
              <w:t>1.0315</w:t>
            </w:r>
          </w:p>
        </w:tc>
        <w:tc>
          <w:tcPr>
            <w:tcW w:type="dxa" w:w="1130"/>
          </w:tcPr>
          <w:p>
            <w:r>
              <w:t>0.8936</w:t>
            </w:r>
          </w:p>
        </w:tc>
        <w:tc>
          <w:tcPr>
            <w:tcW w:type="dxa" w:w="1130"/>
          </w:tcPr>
          <w:p>
            <w:r>
              <w:t>92.59</w:t>
            </w:r>
          </w:p>
        </w:tc>
        <w:tc>
          <w:tcPr>
            <w:tcW w:type="dxa" w:w="1130"/>
          </w:tcPr>
          <w:p>
            <w:r>
              <w:t>5.85</w:t>
            </w:r>
          </w:p>
        </w:tc>
        <w:tc>
          <w:tcPr>
            <w:tcW w:type="dxa" w:w="1130"/>
          </w:tcPr>
          <w:p>
            <w:r>
              <w:t>0.7049</w:t>
            </w:r>
          </w:p>
        </w:tc>
        <w:tc>
          <w:tcPr>
            <w:tcW w:type="dxa" w:w="1130"/>
          </w:tcPr>
          <w:p>
            <w:r>
              <w:t>12.6234</w:t>
            </w:r>
          </w:p>
        </w:tc>
      </w:tr>
      <w:tr>
        <w:tc>
          <w:tcPr>
            <w:tcW w:type="dxa" w:w="1130"/>
          </w:tcPr>
          <w:p>
            <w:r>
              <w:t>8</w:t>
            </w:r>
          </w:p>
        </w:tc>
        <w:tc>
          <w:tcPr>
            <w:tcW w:type="dxa" w:w="1130"/>
          </w:tcPr>
          <w:p>
            <w:r>
              <w:t>19690/ME</w:t>
            </w:r>
          </w:p>
        </w:tc>
        <w:tc>
          <w:tcPr>
            <w:tcW w:type="dxa" w:w="1130"/>
          </w:tcPr>
          <w:p>
            <w:r>
              <w:t>NORTHEAST BANK</w:t>
            </w:r>
          </w:p>
        </w:tc>
        <w:tc>
          <w:tcPr>
            <w:tcW w:type="dxa" w:w="1130"/>
          </w:tcPr>
          <w:p>
            <w:r>
              <w:t>0.8182</w:t>
            </w:r>
          </w:p>
        </w:tc>
        <w:tc>
          <w:tcPr>
            <w:tcW w:type="dxa" w:w="1130"/>
          </w:tcPr>
          <w:p>
            <w:r>
              <w:t>-0.0840</w:t>
            </w:r>
          </w:p>
        </w:tc>
        <w:tc>
          <w:tcPr>
            <w:tcW w:type="dxa" w:w="1130"/>
          </w:tcPr>
          <w:p>
            <w:r>
              <w:t>75.27</w:t>
            </w:r>
          </w:p>
        </w:tc>
        <w:tc>
          <w:tcPr>
            <w:tcW w:type="dxa" w:w="1130"/>
          </w:tcPr>
          <w:p>
            <w:r>
              <w:t>11.55</w:t>
            </w:r>
          </w:p>
        </w:tc>
        <w:tc>
          <w:tcPr>
            <w:tcW w:type="dxa" w:w="1130"/>
          </w:tcPr>
          <w:p>
            <w:r>
              <w:t>2.0918</w:t>
            </w:r>
          </w:p>
        </w:tc>
        <w:tc>
          <w:tcPr>
            <w:tcW w:type="dxa" w:w="1130"/>
          </w:tcPr>
          <w:p>
            <w:r>
              <w:t>14.6966</w:t>
            </w:r>
          </w:p>
        </w:tc>
      </w:tr>
    </w:tbl>
    <w:p>
      <w:r>
        <w:t>分配规则先按VT、NH、ME各取代理率最高者，再对未选银行按代理率降序、CERT数值升序补足。RBCRWAJ原始值为0的记录在工作簿和名单中保留为0，仅要求核实适用/报告口径，不解释为资本为零。每家原始行、起点比较、筛选理由和补证清单见Priority；follow_up_register.csv与其默认快照一致。</w:t>
      </w:r>
    </w:p>
    <w:p>
      <w:pPr>
        <w:pStyle w:val="Heading1"/>
      </w:pPr>
      <w:r>
        <w:t>四、待查原因与建议行动</w:t>
      </w:r>
    </w:p>
    <w:p>
      <w:r>
        <w:rPr>
          <w:b/>
        </w:rPr>
        <w:t>待查原因。</w:t>
      </w:r>
      <w:r>
        <w:t xml:space="preserve"> 代理率变化可能涉及借款人现金流、逾期迁徙、非应计认定、续期/展期、冲销、资产组合与规模变化等；桌面数据不能区分。房地产占比反映集中度而非贷款质量；ROA和资本比率提供背景，不替代贷款级证据。</w:t>
      </w:r>
    </w:p>
    <w:p>
      <w:r>
        <w:rPr>
          <w:b/>
        </w:rPr>
        <w:t>建议行动。</w:t>
      </w:r>
      <w:r>
        <w:t xml:space="preserve"> 对八家取得逾期/非应计逐笔台账、账龄、还款记录、回归应计依据、分类/特别关注清单及评级迁移；对房地产占比较高者取得最大敞口、借款人现金流、最新估值/评估、抵押权与压力测试；对盈利偏弱者核对净息差、费用、冲销、拨备和ACL；取得资本报表与风险加权资产支持，并对原始0值核实适用性和填报口径。</w:t>
      </w:r>
    </w:p>
    <w:p>
      <w:pPr>
        <w:pStyle w:val="Heading1"/>
      </w:pPr>
      <w:r>
        <w:t>五、手册依据与局限</w:t>
      </w:r>
    </w:p>
    <w:p>
      <w:r>
        <w:t>FDIC《RMS Manual of Examination Policies, Section 3.2 Loans》（所附2026年3月版）指出：贷款复核应覆盖信用质量、信用与抵押文件、留置权完善、审批、契约、政策合规及评级及时性（3.2-4至3.2-5）；逾期量高可能提示宽松标准或薄弱服务，但银行续期/展期政策不同会使比率比较失真，必须审查构成与原因（3.2-49至3.2-50）；房地产风险取决于贷款相对抵押价值、利率，尤其借款人有序偿还能力（3.2-17至3.2-18）；政策还应监测集中度（3.2-3、3.2-57）。手册没有为本题提供统一监管阈值，因此本备忘录不导入阈值、不生成监管评级。</w:t>
      </w:r>
    </w:p>
    <w:p>
      <w:pPr>
        <w:pStyle w:val="Heading1"/>
      </w:pPr>
      <w:r>
        <w:t>六、可复用模型与静态快照提示</w:t>
      </w:r>
    </w:p>
    <w:p>
      <w:r>
        <w:t>credit_review.xlsx内的ControlPanel含三个工作簿级命名输入；BankQuarter、PeerQuarter、EndpointBridge和Priority由内部公式重算。RawFinancials仅开放ASSET、P9ASSET、NAASSET，隐藏基准副本自动识别修订。WF_MODEL_VALID为FALSE时全部优先CERT及计数清空。Word与CSV是默认参数、原始金额下的静态快照；参数或金额变化后须重新导出，静态文件不会自动更新。</w:t>
      </w:r>
    </w:p>
    <w:p>
      <w:r>
        <w:t>资料来源：fdic_financials_VT_NH_ME_2022_2025.csv；fdic_institutions_VT_NH_ME.csv；fdic_api_documentation.html及其所引本地定义快照；FDIC_RMS_Manual_3.2_Loans.pdf。金额更正仅是内部核实副本情景，不改变官网定义，也不代表公共原件有错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