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Approval Brief: Cross-FY Training Conference</w:t>
      </w:r>
    </w:p>
    <w:p>
      <w:r>
        <w:t>Prepared for the approving official. All figures use the workbook conference_budget.xlsx; the Word brief and CSV are static snapshots at default parameters and must be regenerated if any ControlPanel input changes.</w:t>
      </w:r>
    </w:p>
    <w:p>
      <w:pPr>
        <w:pStyle w:val="Heading1"/>
      </w:pPr>
      <w:r>
        <w:t>1. Purpose and trip parameters</w:t>
      </w:r>
    </w:p>
    <w:p>
      <w:r>
        <w:t>Travel: depart 2025-09-28, arrive destination; train 09-29, 09-30, 10-01; return 10-02. Lodging: four nights (09-28, 09-29, 09-30, 10-01), single room each traveler. Candidate cities: Chicago IL (Cook), Denver CO (Denver County), Phoenix AZ (Maricopa). Candidate headcounts: 18 or 24 travelers. FY split: 09-28..09-30 is FY2025; 10-01..10-02 is FY2026.</w:t>
      </w:r>
    </w:p>
    <w:p>
      <w:pPr>
        <w:pStyle w:val="Heading1"/>
      </w:pPr>
      <w:r>
        <w:t>2. Rates and sources</w:t>
      </w:r>
    </w:p>
    <w:p>
      <w:r>
        <w:rPr>
          <w:b/>
        </w:rPr>
        <w:t xml:space="preserve">GSA FY2025 Master (09-28..09-30, September season): </w:t>
      </w:r>
      <w:r>
        <w:t>Chicago Lodging $223 / M&amp;IE $92 (row 258); Denver Lodging $215 / M&amp;IE $92 (row 109); Phoenix Lodging $160 / M&amp;IE $86 (row 22).</w:t>
      </w:r>
    </w:p>
    <w:p>
      <w:r>
        <w:rPr>
          <w:b/>
        </w:rPr>
        <w:t xml:space="preserve">GSA FY2026 Master (10-01..10-02, October season): </w:t>
      </w:r>
      <w:r>
        <w:t>Chicago Lodging $223 / M&amp;IE $92 (row 254); Denver Lodging $215 / M&amp;IE $92 (row 107); Phoenix Lodging $160 / M&amp;IE $86 (row 18).</w:t>
      </w:r>
    </w:p>
    <w:p>
      <w:r>
        <w:t>The quoted hotel nightly rates ($218 / $209 / $155) are all at or below the GSA cap for every night of the trip. In this exercise the numerical cap happens to match across the FY boundary for all three cities; the FY match is still recorded separately (see Daily and Sources sheets) because the fiscal-year rules require date-based matching.</w:t>
      </w:r>
    </w:p>
    <w:p>
      <w:r>
        <w:rPr>
          <w:b/>
        </w:rPr>
        <w:t xml:space="preserve">M&amp;IE breakdown </w:t>
      </w:r>
      <w:r>
        <w:t>(FY2025-Present DOCX, linked from gsa_per_diem_files.html): $92 tier → B=$23, L=$26, D=$38, I=$5, First/Last=$69; $86 tier → B=$22, L=$23, D=$36, I=$5, First/Last=$64.50.</w:t>
      </w:r>
    </w:p>
    <w:p>
      <w:r>
        <w:rPr>
          <w:b/>
        </w:rPr>
        <w:t xml:space="preserve">GSA download page link used: </w:t>
      </w:r>
      <w:r>
        <w:t>https://www.gsa.gov/travel/plan-a-trip/per-diem-rates/per-diem-files — the "Meals &amp; incidental expenses breakdown" section on this page links directly to the FY 25-Present M&amp;IE Breakdown DOCX; the "Per diem rates" section links to the FY2025 and FY2026 Master XLSX files. This is the one webpage citation connecting rates to breakdowns.</w:t>
      </w:r>
    </w:p>
    <w:p>
      <w:pPr>
        <w:pStyle w:val="Heading1"/>
      </w:pPr>
      <w:r>
        <w:t>3. Per-person M&amp;IE computation (default arrival 2025-09-28)</w:t>
      </w:r>
    </w:p>
    <w:p>
      <w:r>
        <w:t>Rules applied (FTR): (a) Hotel complimentary breakfast → no deduction (301-11.17). (b) Registration-fee lunch on 09-29, 09-30, 10-01 → deduct Lunch. (c) Government welcome dinner 09-28 → deduct Dinner. (d) Government dinner 10-01 → deduct Dinner. (e) Government departure lunch 10-02 → deduct Lunch. (f) First (09-28) and last (10-02) travel days use 75% M&amp;IE (301-11.101); deductions applied on the decreased rate; $5 incidental floor (301-11.18). (g) Coffee/fruit breaks during training are light refreshments (301-74.7) and do not affect M&amp;IE.</w:t>
      </w:r>
    </w:p>
    <w:tbl>
      <w:tblPr>
        <w:tblStyle w:val="MediumShading1-Accent1"/>
        <w:tblW w:type="auto" w:w="0"/>
        <w:tblLook w:firstColumn="1" w:firstRow="1" w:lastColumn="0" w:lastRow="0" w:noHBand="0" w:noVBand="1" w:val="04A0"/>
      </w:tblPr>
      <w:tblGrid>
        <w:gridCol w:w="1728"/>
        <w:gridCol w:w="1728"/>
        <w:gridCol w:w="1728"/>
        <w:gridCol w:w="1728"/>
        <w:gridCol w:w="1728"/>
      </w:tblGrid>
      <w:tr>
        <w:tc>
          <w:tcPr>
            <w:tcW w:type="dxa" w:w="1728"/>
          </w:tcPr>
          <w:p>
            <w:r>
              <w:t>Date</w:t>
            </w:r>
          </w:p>
        </w:tc>
        <w:tc>
          <w:tcPr>
            <w:tcW w:type="dxa" w:w="1728"/>
          </w:tcPr>
          <w:p>
            <w:r>
              <w:t>Kind</w:t>
            </w:r>
          </w:p>
        </w:tc>
        <w:tc>
          <w:tcPr>
            <w:tcW w:type="dxa" w:w="1728"/>
          </w:tcPr>
          <w:p>
            <w:r>
              <w:t>Chicago/Denver ($92)</w:t>
            </w:r>
          </w:p>
        </w:tc>
        <w:tc>
          <w:tcPr>
            <w:tcW w:type="dxa" w:w="1728"/>
          </w:tcPr>
          <w:p>
            <w:r>
              <w:t>Phoenix ($86)</w:t>
            </w:r>
          </w:p>
        </w:tc>
        <w:tc>
          <w:tcPr>
            <w:tcW w:type="dxa" w:w="1728"/>
          </w:tcPr>
          <w:p>
            <w:r>
              <w:t>Notes</w:t>
            </w:r>
          </w:p>
        </w:tc>
      </w:tr>
      <w:tr>
        <w:tc>
          <w:tcPr>
            <w:tcW w:type="dxa" w:w="1728"/>
          </w:tcPr>
          <w:p>
            <w:r>
              <w:t>2025-09-28</w:t>
            </w:r>
          </w:p>
        </w:tc>
        <w:tc>
          <w:tcPr>
            <w:tcW w:type="dxa" w:w="1728"/>
          </w:tcPr>
          <w:p>
            <w:r>
              <w:t>Arrival / first day</w:t>
            </w:r>
          </w:p>
        </w:tc>
        <w:tc>
          <w:tcPr>
            <w:tcW w:type="dxa" w:w="1728"/>
          </w:tcPr>
          <w:p>
            <w:r>
              <w:t>$31.00</w:t>
            </w:r>
          </w:p>
        </w:tc>
        <w:tc>
          <w:tcPr>
            <w:tcW w:type="dxa" w:w="1728"/>
          </w:tcPr>
          <w:p>
            <w:r>
              <w:t>$28.50</w:t>
            </w:r>
          </w:p>
        </w:tc>
        <w:tc>
          <w:tcPr>
            <w:tcW w:type="dxa" w:w="1728"/>
          </w:tcPr>
          <w:p>
            <w:r>
              <w:t>Gov dinner deducted on 75% rate</w:t>
            </w:r>
          </w:p>
        </w:tc>
      </w:tr>
      <w:tr>
        <w:tc>
          <w:tcPr>
            <w:tcW w:type="dxa" w:w="1728"/>
          </w:tcPr>
          <w:p>
            <w:r>
              <w:t>2025-09-29</w:t>
            </w:r>
          </w:p>
        </w:tc>
        <w:tc>
          <w:tcPr>
            <w:tcW w:type="dxa" w:w="1728"/>
          </w:tcPr>
          <w:p>
            <w:r>
              <w:t>Training</w:t>
            </w:r>
          </w:p>
        </w:tc>
        <w:tc>
          <w:tcPr>
            <w:tcW w:type="dxa" w:w="1728"/>
          </w:tcPr>
          <w:p>
            <w:r>
              <w:t>$66.00</w:t>
            </w:r>
          </w:p>
        </w:tc>
        <w:tc>
          <w:tcPr>
            <w:tcW w:type="dxa" w:w="1728"/>
          </w:tcPr>
          <w:p>
            <w:r>
              <w:t>$63.00</w:t>
            </w:r>
          </w:p>
        </w:tc>
        <w:tc>
          <w:tcPr>
            <w:tcW w:type="dxa" w:w="1728"/>
          </w:tcPr>
          <w:p>
            <w:r>
              <w:t>Reg-fee lunch deducted</w:t>
            </w:r>
          </w:p>
        </w:tc>
      </w:tr>
      <w:tr>
        <w:tc>
          <w:tcPr>
            <w:tcW w:type="dxa" w:w="1728"/>
          </w:tcPr>
          <w:p>
            <w:r>
              <w:t>2025-09-30</w:t>
            </w:r>
          </w:p>
        </w:tc>
        <w:tc>
          <w:tcPr>
            <w:tcW w:type="dxa" w:w="1728"/>
          </w:tcPr>
          <w:p>
            <w:r>
              <w:t>Training</w:t>
            </w:r>
          </w:p>
        </w:tc>
        <w:tc>
          <w:tcPr>
            <w:tcW w:type="dxa" w:w="1728"/>
          </w:tcPr>
          <w:p>
            <w:r>
              <w:t>$66.00</w:t>
            </w:r>
          </w:p>
        </w:tc>
        <w:tc>
          <w:tcPr>
            <w:tcW w:type="dxa" w:w="1728"/>
          </w:tcPr>
          <w:p>
            <w:r>
              <w:t>$63.00</w:t>
            </w:r>
          </w:p>
        </w:tc>
        <w:tc>
          <w:tcPr>
            <w:tcW w:type="dxa" w:w="1728"/>
          </w:tcPr>
          <w:p>
            <w:r>
              <w:t>Reg-fee lunch deducted</w:t>
            </w:r>
          </w:p>
        </w:tc>
      </w:tr>
      <w:tr>
        <w:tc>
          <w:tcPr>
            <w:tcW w:type="dxa" w:w="1728"/>
          </w:tcPr>
          <w:p>
            <w:r>
              <w:t>2025-10-01</w:t>
            </w:r>
          </w:p>
        </w:tc>
        <w:tc>
          <w:tcPr>
            <w:tcW w:type="dxa" w:w="1728"/>
          </w:tcPr>
          <w:p>
            <w:r>
              <w:t>Training</w:t>
            </w:r>
          </w:p>
        </w:tc>
        <w:tc>
          <w:tcPr>
            <w:tcW w:type="dxa" w:w="1728"/>
          </w:tcPr>
          <w:p>
            <w:r>
              <w:t>$28.00</w:t>
            </w:r>
          </w:p>
        </w:tc>
        <w:tc>
          <w:tcPr>
            <w:tcW w:type="dxa" w:w="1728"/>
          </w:tcPr>
          <w:p>
            <w:r>
              <w:t>$27.00</w:t>
            </w:r>
          </w:p>
        </w:tc>
        <w:tc>
          <w:tcPr>
            <w:tcW w:type="dxa" w:w="1728"/>
          </w:tcPr>
          <w:p>
            <w:r>
              <w:t>Reg-fee lunch + gov dinner deducted</w:t>
            </w:r>
          </w:p>
        </w:tc>
      </w:tr>
      <w:tr>
        <w:tc>
          <w:tcPr>
            <w:tcW w:type="dxa" w:w="1728"/>
          </w:tcPr>
          <w:p>
            <w:r>
              <w:t>2025-10-02</w:t>
            </w:r>
          </w:p>
        </w:tc>
        <w:tc>
          <w:tcPr>
            <w:tcW w:type="dxa" w:w="1728"/>
          </w:tcPr>
          <w:p>
            <w:r>
              <w:t>Return / last day</w:t>
            </w:r>
          </w:p>
        </w:tc>
        <w:tc>
          <w:tcPr>
            <w:tcW w:type="dxa" w:w="1728"/>
          </w:tcPr>
          <w:p>
            <w:r>
              <w:t>$43.00</w:t>
            </w:r>
          </w:p>
        </w:tc>
        <w:tc>
          <w:tcPr>
            <w:tcW w:type="dxa" w:w="1728"/>
          </w:tcPr>
          <w:p>
            <w:r>
              <w:t>$41.50</w:t>
            </w:r>
          </w:p>
        </w:tc>
        <w:tc>
          <w:tcPr>
            <w:tcW w:type="dxa" w:w="1728"/>
          </w:tcPr>
          <w:p>
            <w:r>
              <w:t>Gov departure lunch deducted on 75% rate</w:t>
            </w:r>
          </w:p>
        </w:tc>
      </w:tr>
      <w:tr>
        <w:tc>
          <w:tcPr>
            <w:tcW w:type="dxa" w:w="1728"/>
          </w:tcPr>
          <w:p>
            <w:r>
              <w:t>TOTAL</w:t>
            </w:r>
          </w:p>
        </w:tc>
        <w:tc>
          <w:tcPr>
            <w:tcW w:type="dxa" w:w="1728"/>
          </w:tcPr>
          <w:p>
            <w:r/>
          </w:p>
        </w:tc>
        <w:tc>
          <w:tcPr>
            <w:tcW w:type="dxa" w:w="1728"/>
          </w:tcPr>
          <w:p>
            <w:r>
              <w:t>$234.00</w:t>
            </w:r>
          </w:p>
        </w:tc>
        <w:tc>
          <w:tcPr>
            <w:tcW w:type="dxa" w:w="1728"/>
          </w:tcPr>
          <w:p>
            <w:r>
              <w:t>$223.00</w:t>
            </w:r>
          </w:p>
        </w:tc>
        <w:tc>
          <w:tcPr>
            <w:tcW w:type="dxa" w:w="1728"/>
          </w:tcPr>
          <w:p>
            <w:r/>
          </w:p>
        </w:tc>
      </w:tr>
    </w:tbl>
    <w:p>
      <w:r>
        <w:t>Lodging tax is an internal 12% estimate applied to the reimbursable lodging amount (41 CFR 301-11.27). The GSA lodging cap is not the traveler's actual lodging expense; tax is computed on the lesser of quote and cap, which in this exercise equals the quote.</w:t>
      </w:r>
    </w:p>
    <w:p>
      <w:pPr>
        <w:pStyle w:val="Heading1"/>
      </w:pPr>
      <w:r>
        <w:t>4. Plan comparison (default parameters, 5% reserve)</w:t>
      </w:r>
    </w:p>
    <w:tbl>
      <w:tblPr>
        <w:tblStyle w:val="MediumShading1-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City</w:t>
            </w:r>
          </w:p>
        </w:tc>
        <w:tc>
          <w:tcPr>
            <w:tcW w:type="dxa" w:w="1080"/>
          </w:tcPr>
          <w:p>
            <w:r>
              <w:t>Headcount</w:t>
            </w:r>
          </w:p>
        </w:tc>
        <w:tc>
          <w:tcPr>
            <w:tcW w:type="dxa" w:w="1080"/>
          </w:tcPr>
          <w:p>
            <w:r>
              <w:t>Base subtotal</w:t>
            </w:r>
          </w:p>
        </w:tc>
        <w:tc>
          <w:tcPr>
            <w:tcW w:type="dxa" w:w="1080"/>
          </w:tcPr>
          <w:p>
            <w:r>
              <w:t>Reserve 5%</w:t>
            </w:r>
          </w:p>
        </w:tc>
        <w:tc>
          <w:tcPr>
            <w:tcW w:type="dxa" w:w="1080"/>
          </w:tcPr>
          <w:p>
            <w:r>
              <w:t>Total w/ reserve</w:t>
            </w:r>
          </w:p>
        </w:tc>
        <w:tc>
          <w:tcPr>
            <w:tcW w:type="dxa" w:w="1080"/>
          </w:tcPr>
          <w:p>
            <w:r>
              <w:t>Budget $53,000</w:t>
            </w:r>
          </w:p>
        </w:tc>
        <w:tc>
          <w:tcPr>
            <w:tcW w:type="dxa" w:w="1080"/>
          </w:tcPr>
          <w:p>
            <w:r>
              <w:t>Under?</w:t>
            </w:r>
          </w:p>
        </w:tc>
        <w:tc>
          <w:tcPr>
            <w:tcW w:type="dxa" w:w="1080"/>
          </w:tcPr>
          <w:p>
            <w:r>
              <w:t>Stress total</w:t>
            </w:r>
          </w:p>
        </w:tc>
      </w:tr>
      <w:tr>
        <w:tc>
          <w:tcPr>
            <w:tcW w:type="dxa" w:w="1080"/>
          </w:tcPr>
          <w:p>
            <w:r>
              <w:t>CHICAGO</w:t>
            </w:r>
          </w:p>
        </w:tc>
        <w:tc>
          <w:tcPr>
            <w:tcW w:type="dxa" w:w="1080"/>
          </w:tcPr>
          <w:p>
            <w:r>
              <w:t>18</w:t>
            </w:r>
          </w:p>
        </w:tc>
        <w:tc>
          <w:tcPr>
            <w:tcW w:type="dxa" w:w="1080"/>
          </w:tcPr>
          <w:p>
            <w:r>
              <w:t>$43,351.52</w:t>
            </w:r>
          </w:p>
        </w:tc>
        <w:tc>
          <w:tcPr>
            <w:tcW w:type="dxa" w:w="1080"/>
          </w:tcPr>
          <w:p>
            <w:r>
              <w:t>$2,167.58</w:t>
            </w:r>
          </w:p>
        </w:tc>
        <w:tc>
          <w:tcPr>
            <w:tcW w:type="dxa" w:w="1080"/>
          </w:tcPr>
          <w:p>
            <w:r>
              <w:t>$45,519.10</w:t>
            </w:r>
          </w:p>
        </w:tc>
        <w:tc>
          <w:tcPr>
            <w:tcW w:type="dxa" w:w="1080"/>
          </w:tcPr>
          <w:p>
            <w:r>
              <w:t>$53,000.00</w:t>
            </w:r>
          </w:p>
        </w:tc>
        <w:tc>
          <w:tcPr>
            <w:tcW w:type="dxa" w:w="1080"/>
          </w:tcPr>
          <w:p>
            <w:r>
              <w:t>YES</w:t>
            </w:r>
          </w:p>
        </w:tc>
        <w:tc>
          <w:tcPr>
            <w:tcW w:type="dxa" w:w="1080"/>
          </w:tcPr>
          <w:p>
            <w:r>
              <w:t>$47,068.90 (OK)</w:t>
            </w:r>
          </w:p>
        </w:tc>
      </w:tr>
      <w:tr>
        <w:tc>
          <w:tcPr>
            <w:tcW w:type="dxa" w:w="1080"/>
          </w:tcPr>
          <w:p>
            <w:r>
              <w:t>CHICAGO</w:t>
            </w:r>
          </w:p>
        </w:tc>
        <w:tc>
          <w:tcPr>
            <w:tcW w:type="dxa" w:w="1080"/>
          </w:tcPr>
          <w:p>
            <w:r>
              <w:t>24</w:t>
            </w:r>
          </w:p>
        </w:tc>
        <w:tc>
          <w:tcPr>
            <w:tcW w:type="dxa" w:w="1080"/>
          </w:tcPr>
          <w:p>
            <w:r>
              <w:t>$54,635.36</w:t>
            </w:r>
          </w:p>
        </w:tc>
        <w:tc>
          <w:tcPr>
            <w:tcW w:type="dxa" w:w="1080"/>
          </w:tcPr>
          <w:p>
            <w:r>
              <w:t>$2,731.77</w:t>
            </w:r>
          </w:p>
        </w:tc>
        <w:tc>
          <w:tcPr>
            <w:tcW w:type="dxa" w:w="1080"/>
          </w:tcPr>
          <w:p>
            <w:r>
              <w:t>$57,367.13</w:t>
            </w:r>
          </w:p>
        </w:tc>
        <w:tc>
          <w:tcPr>
            <w:tcW w:type="dxa" w:w="1080"/>
          </w:tcPr>
          <w:p>
            <w:r>
              <w:t>$53,000.00</w:t>
            </w:r>
          </w:p>
        </w:tc>
        <w:tc>
          <w:tcPr>
            <w:tcW w:type="dxa" w:w="1080"/>
          </w:tcPr>
          <w:p>
            <w:r>
              <w:t>NO</w:t>
            </w:r>
          </w:p>
        </w:tc>
        <w:tc>
          <w:tcPr>
            <w:tcW w:type="dxa" w:w="1080"/>
          </w:tcPr>
          <w:p>
            <w:r>
              <w:t>$59,433.53 (OVER)</w:t>
            </w:r>
          </w:p>
        </w:tc>
      </w:tr>
      <w:tr>
        <w:tc>
          <w:tcPr>
            <w:tcW w:type="dxa" w:w="1080"/>
          </w:tcPr>
          <w:p>
            <w:r>
              <w:t>DENVER</w:t>
            </w:r>
          </w:p>
        </w:tc>
        <w:tc>
          <w:tcPr>
            <w:tcW w:type="dxa" w:w="1080"/>
          </w:tcPr>
          <w:p>
            <w:r>
              <w:t>18</w:t>
            </w:r>
          </w:p>
        </w:tc>
        <w:tc>
          <w:tcPr>
            <w:tcW w:type="dxa" w:w="1080"/>
          </w:tcPr>
          <w:p>
            <w:r>
              <w:t>$42,185.76</w:t>
            </w:r>
          </w:p>
        </w:tc>
        <w:tc>
          <w:tcPr>
            <w:tcW w:type="dxa" w:w="1080"/>
          </w:tcPr>
          <w:p>
            <w:r>
              <w:t>$2,109.29</w:t>
            </w:r>
          </w:p>
        </w:tc>
        <w:tc>
          <w:tcPr>
            <w:tcW w:type="dxa" w:w="1080"/>
          </w:tcPr>
          <w:p>
            <w:r>
              <w:t>$44,295.05</w:t>
            </w:r>
          </w:p>
        </w:tc>
        <w:tc>
          <w:tcPr>
            <w:tcW w:type="dxa" w:w="1080"/>
          </w:tcPr>
          <w:p>
            <w:r>
              <w:t>$53,000.00</w:t>
            </w:r>
          </w:p>
        </w:tc>
        <w:tc>
          <w:tcPr>
            <w:tcW w:type="dxa" w:w="1080"/>
          </w:tcPr>
          <w:p>
            <w:r>
              <w:t>YES</w:t>
            </w:r>
          </w:p>
        </w:tc>
        <w:tc>
          <w:tcPr>
            <w:tcW w:type="dxa" w:w="1080"/>
          </w:tcPr>
          <w:p>
            <w:r>
              <w:t>$45,580.25 (OK)</w:t>
            </w:r>
          </w:p>
        </w:tc>
      </w:tr>
      <w:tr>
        <w:tc>
          <w:tcPr>
            <w:tcW w:type="dxa" w:w="1080"/>
          </w:tcPr>
          <w:p>
            <w:r>
              <w:t>DENVER</w:t>
            </w:r>
          </w:p>
        </w:tc>
        <w:tc>
          <w:tcPr>
            <w:tcW w:type="dxa" w:w="1080"/>
          </w:tcPr>
          <w:p>
            <w:r>
              <w:t>24</w:t>
            </w:r>
          </w:p>
        </w:tc>
        <w:tc>
          <w:tcPr>
            <w:tcW w:type="dxa" w:w="1080"/>
          </w:tcPr>
          <w:p>
            <w:r>
              <w:t>$52,747.68</w:t>
            </w:r>
          </w:p>
        </w:tc>
        <w:tc>
          <w:tcPr>
            <w:tcW w:type="dxa" w:w="1080"/>
          </w:tcPr>
          <w:p>
            <w:r>
              <w:t>$2,637.38</w:t>
            </w:r>
          </w:p>
        </w:tc>
        <w:tc>
          <w:tcPr>
            <w:tcW w:type="dxa" w:w="1080"/>
          </w:tcPr>
          <w:p>
            <w:r>
              <w:t>$55,385.06</w:t>
            </w:r>
          </w:p>
        </w:tc>
        <w:tc>
          <w:tcPr>
            <w:tcW w:type="dxa" w:w="1080"/>
          </w:tcPr>
          <w:p>
            <w:r>
              <w:t>$53,000.00</w:t>
            </w:r>
          </w:p>
        </w:tc>
        <w:tc>
          <w:tcPr>
            <w:tcW w:type="dxa" w:w="1080"/>
          </w:tcPr>
          <w:p>
            <w:r>
              <w:t>NO</w:t>
            </w:r>
          </w:p>
        </w:tc>
        <w:tc>
          <w:tcPr>
            <w:tcW w:type="dxa" w:w="1080"/>
          </w:tcPr>
          <w:p>
            <w:r>
              <w:t>$57,098.66 (OVER)</w:t>
            </w:r>
          </w:p>
        </w:tc>
      </w:tr>
      <w:tr>
        <w:tc>
          <w:tcPr>
            <w:tcW w:type="dxa" w:w="1080"/>
          </w:tcPr>
          <w:p>
            <w:r>
              <w:t>PHOENIX</w:t>
            </w:r>
          </w:p>
        </w:tc>
        <w:tc>
          <w:tcPr>
            <w:tcW w:type="dxa" w:w="1080"/>
          </w:tcPr>
          <w:p>
            <w:r>
              <w:t>18</w:t>
            </w:r>
          </w:p>
        </w:tc>
        <w:tc>
          <w:tcPr>
            <w:tcW w:type="dxa" w:w="1080"/>
          </w:tcPr>
          <w:p>
            <w:r>
              <w:t>$38,553.20</w:t>
            </w:r>
          </w:p>
        </w:tc>
        <w:tc>
          <w:tcPr>
            <w:tcW w:type="dxa" w:w="1080"/>
          </w:tcPr>
          <w:p>
            <w:r>
              <w:t>$1,927.66</w:t>
            </w:r>
          </w:p>
        </w:tc>
        <w:tc>
          <w:tcPr>
            <w:tcW w:type="dxa" w:w="1080"/>
          </w:tcPr>
          <w:p>
            <w:r>
              <w:t>$40,480.86</w:t>
            </w:r>
          </w:p>
        </w:tc>
        <w:tc>
          <w:tcPr>
            <w:tcW w:type="dxa" w:w="1080"/>
          </w:tcPr>
          <w:p>
            <w:r>
              <w:t>$53,000.00</w:t>
            </w:r>
          </w:p>
        </w:tc>
        <w:tc>
          <w:tcPr>
            <w:tcW w:type="dxa" w:w="1080"/>
          </w:tcPr>
          <w:p>
            <w:r>
              <w:t>YES</w:t>
            </w:r>
          </w:p>
        </w:tc>
        <w:tc>
          <w:tcPr>
            <w:tcW w:type="dxa" w:w="1080"/>
          </w:tcPr>
          <w:p>
            <w:r>
              <w:t>$42,408.66 (OK)</w:t>
            </w:r>
          </w:p>
        </w:tc>
      </w:tr>
      <w:tr>
        <w:tc>
          <w:tcPr>
            <w:tcW w:type="dxa" w:w="1080"/>
          </w:tcPr>
          <w:p>
            <w:r>
              <w:t>PHOENIX</w:t>
            </w:r>
          </w:p>
        </w:tc>
        <w:tc>
          <w:tcPr>
            <w:tcW w:type="dxa" w:w="1080"/>
          </w:tcPr>
          <w:p>
            <w:r>
              <w:t>24</w:t>
            </w:r>
          </w:p>
        </w:tc>
        <w:tc>
          <w:tcPr>
            <w:tcW w:type="dxa" w:w="1080"/>
          </w:tcPr>
          <w:p>
            <w:r>
              <w:t>$48,737.60</w:t>
            </w:r>
          </w:p>
        </w:tc>
        <w:tc>
          <w:tcPr>
            <w:tcW w:type="dxa" w:w="1080"/>
          </w:tcPr>
          <w:p>
            <w:r>
              <w:t>$2,436.88</w:t>
            </w:r>
          </w:p>
        </w:tc>
        <w:tc>
          <w:tcPr>
            <w:tcW w:type="dxa" w:w="1080"/>
          </w:tcPr>
          <w:p>
            <w:r>
              <w:t>$51,174.48</w:t>
            </w:r>
          </w:p>
        </w:tc>
        <w:tc>
          <w:tcPr>
            <w:tcW w:type="dxa" w:w="1080"/>
          </w:tcPr>
          <w:p>
            <w:r>
              <w:t>$53,000.00</w:t>
            </w:r>
          </w:p>
        </w:tc>
        <w:tc>
          <w:tcPr>
            <w:tcW w:type="dxa" w:w="1080"/>
          </w:tcPr>
          <w:p>
            <w:r>
              <w:t>YES</w:t>
            </w:r>
          </w:p>
        </w:tc>
        <w:tc>
          <w:tcPr>
            <w:tcW w:type="dxa" w:w="1080"/>
          </w:tcPr>
          <w:p>
            <w:r>
              <w:t>$53,744.88 (OVER)</w:t>
            </w:r>
          </w:p>
        </w:tc>
      </w:tr>
    </w:tbl>
    <w:p>
      <w:pPr>
        <w:pStyle w:val="Heading1"/>
      </w:pPr>
      <w:r>
        <w:t>5. Selected plan and backup</w:t>
      </w:r>
    </w:p>
    <w:p>
      <w:r>
        <w:t>Selected (current parameters): PHOENIX with 24 travelers, total with 5% reserve = $51,174.48, margin = $1,825.52. Lodging quote is at or below GSA cap every night; hotel safety and venue capacity must still be confirmed.</w:t>
      </w:r>
    </w:p>
    <w:p>
      <w:r>
        <w:t>Backup plan: PHOENIX with 18 travelers, total with 5% reserve = $40,480.86, margin = $12,519.14.</w:t>
      </w:r>
    </w:p>
    <w:p>
      <w:pPr>
        <w:pStyle w:val="Heading1"/>
      </w:pPr>
      <w:r>
        <w:t>6. Stress scenario (airfare +20%)</w:t>
      </w:r>
    </w:p>
    <w:p>
      <w:r>
        <w:t>Re-run with airfare multiplied by an additional 1.20 and the same 5% reserve. Selected plan under stress:</w:t>
      </w:r>
    </w:p>
    <w:p>
      <w:r>
        <w:t>Stress-feasible: PHOENIX with 18 travelers, stress total = $42,408.66, margin = $10,591.34. If any other option must be kept, apply the mitigation steps below.</w:t>
      </w:r>
    </w:p>
    <w:p>
      <w:r>
        <w:t>Execution measures if a desired plan is over the stress ceiling: (a) drop to the next lower headcount tier (24 → 18); (b) re-quote airfare or enforce contract city-pair; (c) confirm lodging at or below GSA cap to keep per diem method (no actual expense overrun); (d) confirm venue procurement and occupancy before committing; (e) if still over, request incremental funds or a written deviation from the approving official.</w:t>
      </w:r>
    </w:p>
    <w:p>
      <w:pPr>
        <w:pStyle w:val="Heading1"/>
      </w:pPr>
      <w:r>
        <w:t>7. Cross-FY rate impact</w:t>
      </w:r>
    </w:p>
    <w:p>
      <w:r>
        <w:t>The trip straddles FY2025 (09-28..09-30) and FY2026 (10-01..10-02). For all three cities in this exercise the September-season FY2025 rate and the October-season FY2026 rate are numerically equal for both lodging and M&amp;IE, so the cross-FY boundary does not change any computed amount. The workbook still matches rates by date per FTR and records the FY2025 and FY2026 Master Excel rows separately (see Sources sheet) because the regulation requires it and rates can diverge in other scenarios.</w:t>
      </w:r>
    </w:p>
    <w:p>
      <w:pPr>
        <w:pStyle w:val="Heading1"/>
      </w:pPr>
      <w:r>
        <w:t>8. Approval conditions and evidence</w:t>
      </w:r>
    </w:p>
    <w:p>
      <w:r>
        <w:t>See approval_register.csv for the full register. Items that block approval unless resolved:</w:t>
      </w:r>
    </w:p>
    <w:p>
      <w:pPr>
        <w:pStyle w:val="ListBullet"/>
      </w:pPr>
      <w:r>
        <w:t>Signed travel authorization for each employee.</w:t>
      </w:r>
    </w:p>
    <w:p>
      <w:pPr>
        <w:pStyle w:val="ListBullet"/>
      </w:pPr>
      <w:r>
        <w:t>Hotel fire-safety and formal-lodging confirmation for the chosen property.</w:t>
      </w:r>
    </w:p>
    <w:p>
      <w:pPr>
        <w:pStyle w:val="ListBullet"/>
      </w:pPr>
      <w:r>
        <w:t>Venue procurement (PO/contract) and assembly/ADA capacity for the chosen headcount.</w:t>
      </w:r>
    </w:p>
    <w:p>
      <w:pPr>
        <w:pStyle w:val="ListBullet"/>
      </w:pPr>
      <w:r>
        <w:t>Funds certification covering the FY-split obligation (FY2025 + FY2026).</w:t>
      </w:r>
    </w:p>
    <w:p>
      <w:pPr>
        <w:pStyle w:val="ListBullet"/>
      </w:pPr>
      <w:r>
        <w:t>Written confirmation that the meeting space has been verified for lodging/fire-safety and procurement compliance — the quotation alone does not constitute approval (per task assumption).</w:t>
      </w:r>
    </w:p>
    <w:p>
      <w:r>
        <w:t>Non-blocking but required on file: M&amp;IE deduction schedule (Daily sheet), registration-fee treatment (301-74.8), airfare justification (contract city-pair or written basis), post-travel reconciliation.</w:t>
      </w:r>
    </w:p>
    <w:p>
      <w:pPr>
        <w:pStyle w:val="Heading1"/>
      </w:pPr>
      <w:r>
        <w:t>9. Snapshot notice</w:t>
      </w:r>
    </w:p>
    <w:p>
      <w:r>
        <w:t>This Word brief and the accompanying CSV are static snapshots computed at the default ControlPanel parameters. If any input (WF_BUDGET, WF_AIR_MULTIPLIER, WF_RESERVE_RATE, WF_GOV_BREAKFAST_0929, WF_ARRIVAL) is changed, WF_SNAPSHOT_CURRENT in the workbook becomes FALSE and this brief and CSV MUST be regenerated — they do not auto-update. The workbook itself recomputes via formulas.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