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Outdoor Activity Policy Brief: Arizona Three-County 2024 Retrospective</w:t>
      </w:r>
    </w:p>
    <w:p>
      <w:pPr>
        <w:pStyle w:val="Heading1"/>
      </w:pPr>
      <w:r>
        <w:t>1. Scope and data basis</w:t>
      </w:r>
    </w:p>
    <w:p>
      <w:r>
        <w:t>This brief reviews 2024 calendar-year daily AQI records for Maricopa (FIPS 04013), Pima (04019), and Yuma (04027) counties, sourced from EPA AQS daily and annual county files (epa_download_files.html, epa_file_formats.html). County identity was verified against national_county2020.txt using 5-digit FIPS (STATEFP+COUNTYFP), not county-name matching. 2024 is a leap year (366 days).</w:t>
      </w:r>
    </w:p>
    <w:p>
      <w:pPr>
        <w:pStyle w:val="Heading1"/>
      </w:pPr>
      <w:r>
        <w:t>2. Data audit summary</w:t>
      </w:r>
    </w:p>
    <w:p>
      <w:r>
        <w:t>Maricopa: 366 days with AQI, 0 missing (none). Max AQI = 261. Annual reconciliation: exact match on all eight counted fields (Days with AQI, six category counts, Max AQI).</w:t>
      </w:r>
    </w:p>
    <w:p>
      <w:r>
        <w:t>Pima: 366 days with AQI, 0 missing (none). Max AQI = 171. Annual reconciliation: exact match on all eight counted fields (Days with AQI, six category counts, Max AQI).</w:t>
      </w:r>
    </w:p>
    <w:p>
      <w:r>
        <w:t>Yuma: 365 days with AQI, 1 missing (2024-11-26). Max AQI = 179. Annual reconciliation: exact match on all eight counted fields (Days with AQI, six category counts, Max AQI).</w:t>
      </w:r>
    </w:p>
    <w:p>
      <w:r>
        <w:t>Yuma has one missing date (2024-11-26, a Tuesday). Per policy, missing days are "Pending test, indoor backup" and are not filled as AQI=0. No duplicate county-date keys and no non-numeric AQI values were found in the three-county subset.</w:t>
      </w:r>
    </w:p>
    <w:p>
      <w:pPr>
        <w:pStyle w:val="Heading1"/>
      </w:pPr>
      <w:r>
        <w:t>3. Policy A vs Policy B: operational impact</w:t>
      </w:r>
    </w:p>
    <w:p>
      <w:r>
        <w:t>Policy A (indoor at AQI&gt;=101) vs Policy B (indoor at AQI&gt;=151; 101-150 outdoor reduced with indoor option). Each weekday session = 40 people x 1.5 h = 60 person-hours.</w:t>
      </w:r>
    </w:p>
    <w:p>
      <w:r>
        <w:t>Maricopa: 262 weekday sessions; A indoor=65, B full-indoor=8, B reduced-outdoor=57, missing backup=0. A switches more often than B on 57 days (3420 additional person-hours under A).</w:t>
      </w:r>
    </w:p>
    <w:p>
      <w:r>
        <w:t>Pima: 262 weekday sessions; A indoor=8, B full-indoor=1, B reduced-outdoor=7, missing backup=0. A switches more often than B on 7 days (420 additional person-hours under A).</w:t>
      </w:r>
    </w:p>
    <w:p>
      <w:r>
        <w:t>Yuma: 262 weekday sessions; A indoor=5, B full-indoor=2, B reduced-outdoor=3, missing backup=1. A switches more often than B on 3 days (180 additional person-hours under A).</w:t>
      </w:r>
    </w:p>
    <w:p>
      <w:pPr>
        <w:pStyle w:val="Heading1"/>
      </w:pPr>
      <w:r>
        <w:t>4. Missing-data handling</w:t>
      </w:r>
    </w:p>
    <w:p>
      <w:r>
        <w:t>Missing daily AQI is treated as "Pending test, indoor backup" under both policies. This is counted separately from observed exceedance switches. Only Yuma has one missing weekday (2024-11-26). We do not impute AQI=0 or interpolate; doing so would understate backup demand and misrepresent monitoring coverage.</w:t>
      </w:r>
    </w:p>
    <w:p>
      <w:pPr>
        <w:pStyle w:val="Heading1"/>
      </w:pPr>
      <w:r>
        <w:t>5. Discretionary subsidy allocation (ResourcePlan)</w:t>
      </w:r>
    </w:p>
    <w:p>
      <w:r>
        <w:t>Baseline Policy B (including missing-day backup) is separately funded and not fungible. Each month has an additional $900 to upgrade eligible 101-150 AQI weekday sessions from B's reduced-outdoor arrangement to full indoor. At most one county per date may receive the upgrade; unused monthly balance does not roll over.</w:t>
      </w:r>
    </w:p>
    <w:p>
      <w:r>
        <w:t>Allocation is solved per month by dynamic programming over dates with a budget constraint, maximizing sum((AQI-100)*county_weight). This is verifiably optimal for each month. Costs vary by county and weekday (e.g., Maricopa Tue=$200, Yuma Fri=$40), so a greedy "highest AQI first" rule is not guaranteed optimal.</w:t>
      </w:r>
    </w:p>
    <w:p>
      <w:r>
        <w:t>Month 1: 1 sessions selected, cost=$80, remaining=$820, points=3. Counties: Maricopa.</w:t>
      </w:r>
    </w:p>
    <w:p>
      <w:r>
        <w:t>Month 4: 2 sessions selected, cost=$280, remaining=$620, points=80. Counties: Maricopa;Pima.</w:t>
      </w:r>
    </w:p>
    <w:p>
      <w:r>
        <w:t>Month 5: 6 sessions selected, cost=$840, remaining=$60, points=369. Counties: Maricopa.</w:t>
      </w:r>
    </w:p>
    <w:p>
      <w:r>
        <w:t>Month 6: 6 sessions selected, cost=$840, remaining=$60, points=118. Counties: Maricopa;Pima;Yuma.</w:t>
      </w:r>
    </w:p>
    <w:p>
      <w:r>
        <w:t>Month 7: 7 sessions selected, cost=$880, remaining=$20, points=576. Counties: Maricopa.</w:t>
      </w:r>
    </w:p>
    <w:p>
      <w:r>
        <w:t>Month 8: 7 sessions selected, cost=$800, remaining=$100, points=666. Counties: Maricopa.</w:t>
      </w:r>
    </w:p>
    <w:p>
      <w:r>
        <w:t>Month 9: 7 sessions selected, cost=$880, remaining=$20, points=329. Counties: Maricopa;Yuma.</w:t>
      </w:r>
    </w:p>
    <w:p>
      <w:r>
        <w:t>Month 10: 6 sessions selected, cost=$680, remaining=$220, points=107. Counties: Maricopa;Pima;Yuma.</w:t>
      </w:r>
    </w:p>
    <w:p>
      <w:r>
        <w:t>Month 12: 5 sessions selected, cost=$840, remaining=$60, points=240. Counties: Maricopa.</w:t>
      </w:r>
    </w:p>
    <w:p>
      <w:pPr>
        <w:pStyle w:val="Heading1"/>
      </w:pPr>
      <w:r>
        <w:t>6. Decision audit (DA-D1, DA-D2)</w:t>
      </w:r>
    </w:p>
    <w:p>
      <w:r>
        <w:t>DA-D1 ("greedy by highest AQI yields max points"): rejected as a general rule. Costs differ by county/weekday, so a cheaper lower-AQI session can free budget for additional sessions and yield higher total points. DP is the correct method; greedy coincidentally matches optimal in some months but is not provably optimal.</w:t>
      </w:r>
    </w:p>
    <w:p>
      <w:r>
        <w:t>DA-D2 ("cancel B baseline indoor or missing backup to fit discretionary budget"): not permitted. Baseline Policy B funding is separate and non-fungible per the decision constraints. Discretionary funds are strictly additive; unused monthly balance lapses.</w:t>
      </w:r>
    </w:p>
    <w:p>
      <w:pPr>
        <w:pStyle w:val="Heading1"/>
      </w:pPr>
      <w:r>
        <w:t>7. Recommendations and limits of evidence</w:t>
      </w:r>
    </w:p>
    <w:p>
      <w:r>
        <w:t>Resource trade-off: Maricopa carries the bulk of A-vs-B difference (highest USG+Unhealthy days) and has the highest discretionary weight (3x), but also the highest session costs. Yuma is cheapest (base $80, Fri $40) but lowest weight (1x) and fewest eligible days. Pima sits in between.</w:t>
      </w:r>
    </w:p>
    <w:p>
      <w:r>
        <w:t>Sensitive-population protection: Policy B already moves AQI&gt;=151 days fully indoors and offers indoor option at 101-150. The discretionary upgrade closes the indoor-option gap on highest-AQI moderate days within budget.</w:t>
      </w:r>
    </w:p>
    <w:p>
      <w:r>
        <w:t>Monitoring coverage: Yuma's single missing weekday (2024-11-26) is handled by backup; this is not imputed. Persistent gaps would require additional monitor investment, not schedule adjustment.</w:t>
      </w:r>
    </w:p>
    <w:p>
      <w:r>
        <w:t>Limits: this is a retrospective rule simulation using final daily AQI values. It does not claim operators knew AQI in advance, does not infer asthma or other health outcomes, does not estimate hourly exposure, and does not project exact day counts to 2025. Recommendations are scheduling and funding guidance, not health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