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Review Memorandum</w:t>
      </w:r>
    </w:p>
    <w:p>
      <w:pPr>
        <w:jc w:val="center"/>
      </w:pPr>
      <w:r>
        <w:rPr>
          <w:i/>
          <w:sz w:val="28"/>
        </w:rPr>
        <w:t>New England Three-State Quarterly Credit Review</w:t>
      </w:r>
    </w:p>
    <w:p/>
    <w:p>
      <w:pPr>
        <w:pStyle w:val="Heading1"/>
      </w:pPr>
      <w:r>
        <w:t>Executive Summary</w:t>
      </w:r>
    </w:p>
    <w:p>
      <w:r>
        <w:rPr>
          <w:b/>
        </w:rPr>
        <w:t xml:space="preserve">Purpose: </w:t>
      </w:r>
      <w:r>
        <w:t>This memorandum presents the quarterly credit review for Vermont (VT), New Hampshire (NH), and Maine (ME) banks, comparing June 30, 2024 to June 30, 2025. The review identifies eight banks for priority examination based on overdue and nonaccrual asset levels, allocates review resources under budget constraints, and provides guidance for follow-up procedures.</w:t>
      </w:r>
    </w:p>
    <w:p/>
    <w:p>
      <w:pPr>
        <w:pStyle w:val="Heading1"/>
      </w:pPr>
      <w:r>
        <w:t>Key Findings</w:t>
      </w:r>
    </w:p>
    <w:p>
      <w:pPr>
        <w:pStyle w:val="ListBullet"/>
      </w:pPr>
      <w:r>
        <w:rPr>
          <w:b/>
        </w:rPr>
        <w:t>Regional proxy rate increased from 0.2986% to 0.3682%</w:t>
      </w:r>
      <w:r>
        <w:t xml:space="preserve"> (a 0.0696 percentage point increase over the year)</w:t>
      </w:r>
    </w:p>
    <w:p>
      <w:pPr>
        <w:pStyle w:val="ListBullet"/>
      </w:pPr>
      <w:r>
        <w:rPr>
          <w:b/>
        </w:rPr>
        <w:t>52 banks present in both periods</w:t>
      </w:r>
      <w:r>
        <w:t xml:space="preserve"> (2 banks exited the sample (CERT 14240, 17748); no new entrants)</w:t>
      </w:r>
    </w:p>
    <w:p>
      <w:pPr>
        <w:pStyle w:val="ListBullet"/>
      </w:pPr>
      <w:r>
        <w:rPr>
          <w:b/>
        </w:rPr>
        <w:t>Within-bank changes drove 79% of the increase</w:t>
      </w:r>
      <w:r>
        <w:t xml:space="preserve"> (0.0582 pp from individual bank rate changes vs 0.0156 pp from asset mix shifts)</w:t>
      </w:r>
    </w:p>
    <w:p>
      <w:pPr>
        <w:pStyle w:val="ListBullet"/>
      </w:pPr>
      <w:r>
        <w:rPr>
          <w:b/>
        </w:rPr>
        <w:t>Maine contributed most to regional increase</w:t>
      </w:r>
      <w:r>
        <w:t xml:space="preserve"> (0.0760 pp total contribution (0.0586 pp rate + 0.0174 pp weight))</w:t>
      </w:r>
    </w:p>
    <w:p>
      <w:pPr>
        <w:pStyle w:val="ListBullet"/>
      </w:pPr>
      <w:r>
        <w:rPr>
          <w:b/>
        </w:rPr>
        <w:t>Vermont and New Hampshire showed mixed patterns</w:t>
      </w:r>
      <w:r>
        <w:t xml:space="preserve"> (VT: +0.0173 pp; NH: -0.0195 pp (rate improvements offset by weight effects))</w:t>
      </w:r>
    </w:p>
    <w:p/>
    <w:p>
      <w:pPr>
        <w:pStyle w:val="Heading1"/>
      </w:pPr>
      <w:r>
        <w:t>Scope and Methodology</w:t>
      </w:r>
    </w:p>
    <w:p>
      <w:r>
        <w:t>Data Coverage:</w:t>
      </w:r>
    </w:p>
    <w:p>
      <w:pPr>
        <w:pStyle w:val="ListBullet"/>
      </w:pPr>
      <w:r>
        <w:t>Financial data: 746 quarterly records for 54 unique banks across 14 quarters (2022Q1 to 2025Q2)</w:t>
      </w:r>
    </w:p>
    <w:p>
      <w:pPr>
        <w:pStyle w:val="ListBullet"/>
      </w:pPr>
      <w:r>
        <w:t>Institution data: 355 institution records with 1:1 join to financial data by CERT</w:t>
      </w:r>
    </w:p>
    <w:p>
      <w:pPr>
        <w:pStyle w:val="ListBullet"/>
      </w:pPr>
      <w:r>
        <w:t>All monetary fields in thousands of USD; ratio fields (ROA, RBCRWAJ) already in percent form</w:t>
      </w:r>
    </w:p>
    <w:p>
      <w:pPr>
        <w:pStyle w:val="ListBullet"/>
      </w:pPr>
      <w:r>
        <w:t>No missing values in key fields; no duplicate CERT+REPDTE combinations</w:t>
      </w:r>
    </w:p>
    <w:p/>
    <w:p>
      <w:r>
        <w:t>Proxy Rate Definition:</w:t>
      </w:r>
    </w:p>
    <w:p>
      <w:r>
        <w:t>Proxy Rate = 100 × (P9ASSET + NAASSET) / ASSET</w:t>
      </w:r>
    </w:p>
    <w:p>
      <w:r>
        <w:t xml:space="preserve">This metric combines loans 90+ days past due (P9ASSET) and nonaccrual loans (NAASSET) as a proportion of total assets. </w:t>
      </w:r>
      <w:r>
        <w:rPr>
          <w:b/>
        </w:rPr>
        <w:t xml:space="preserve">Important: </w:t>
      </w:r>
      <w:r>
        <w:t>This is an analytical proxy, not a regulatory rating. It does not distinguish between severity levels, does not incorporate risk weights, and should not be interpreted as a supervisory classification.</w:t>
      </w:r>
    </w:p>
    <w:p/>
    <w:p>
      <w:r>
        <w:t>Aggregation Method:</w:t>
      </w:r>
    </w:p>
    <w:p>
      <w:r>
        <w:t>All regional and state-level rates use sum-of-numerators divided by sum-of-denominators (not averages of bank-level rates). This weights each bank by its asset size, preventing small banks from having disproportionate influence.</w:t>
      </w:r>
    </w:p>
    <w:p/>
    <w:p>
      <w:pPr>
        <w:pStyle w:val="Heading1"/>
      </w:pPr>
      <w:r>
        <w:t>Bridge Analysis: Observed vs. Fixed-Weight</w:t>
      </w:r>
    </w:p>
    <w:p>
      <w:r>
        <w:t>The observed regional increase of 0.0696 pp reflects three components:</w:t>
      </w:r>
    </w:p>
    <w:p>
      <w:pPr>
        <w:pStyle w:val="ListBullet"/>
      </w:pPr>
      <w:r>
        <w:rPr>
          <w:b/>
        </w:rPr>
        <w:t>Common set change: +0.0739 pp</w:t>
      </w:r>
      <w:r>
        <w:t>: The 52 banks present in both periods saw their aggregate proxy rate rise from 0.2943% to 0.3682%</w:t>
      </w:r>
    </w:p>
    <w:p>
      <w:pPr>
        <w:pStyle w:val="ListBullet"/>
      </w:pPr>
      <w:r>
        <w:rPr>
          <w:b/>
        </w:rPr>
        <w:t>Scope effect: -0.0042 pp</w:t>
      </w:r>
      <w:r>
        <w:t>: The two banks that exited had slightly higher proxy rates than the common set average, so their exit reduced the regional rate</w:t>
      </w:r>
    </w:p>
    <w:p>
      <w:pPr>
        <w:pStyle w:val="ListBullet"/>
      </w:pPr>
      <w:r>
        <w:rPr>
          <w:b/>
        </w:rPr>
        <w:t>Fixed-weight analysis: +0.0630 pp</w:t>
      </w:r>
      <w:r>
        <w:t>: Using 2024-06-30 assets as fixed weights, the common set rate rose from 0.2943% to 0.3574%, isolating within-bank changes from asset mix shifts</w:t>
      </w:r>
    </w:p>
    <w:p/>
    <w:p>
      <w:r>
        <w:t>Shapley Decomposition (SymmetricBridge):</w:t>
      </w:r>
    </w:p>
    <w:p>
      <w:r>
        <w:t>To separate within-bank changes from asset mix effects, we apply a symmetric decomposition:</w:t>
      </w:r>
    </w:p>
    <w:p>
      <w:pPr>
        <w:pStyle w:val="ListBullet"/>
      </w:pPr>
      <w:r>
        <w:t>Within-bank rate change: +0.0582 pp (79% of common set change)</w:t>
      </w:r>
    </w:p>
    <w:p>
      <w:pPr>
        <w:pStyle w:val="ListBullet"/>
      </w:pPr>
      <w:r>
        <w:t>Asset weight (mix) change: +0.0156 pp (21% of common set change)</w:t>
      </w:r>
    </w:p>
    <w:p>
      <w:pPr>
        <w:pStyle w:val="ListBullet"/>
      </w:pPr>
      <w:r>
        <w:t>Total: +0.0739 pp (matches common set change)</w:t>
      </w:r>
    </w:p>
    <w:p/>
    <w:p>
      <w:r>
        <w:t>Per-state contributions show Maine drove the regional increase, while New Hampshire saw rate improvements offset by asset mix shifts.</w:t>
      </w:r>
    </w:p>
    <w:p/>
    <w:p>
      <w:pPr>
        <w:pStyle w:val="Heading1"/>
      </w:pPr>
      <w:r>
        <w:t>Priority Banks for Review</w:t>
      </w:r>
    </w:p>
    <w:p>
      <w:r>
        <w:t>Eight banks selected for priority review based on 2025-06-30 proxy rates:</w:t>
      </w:r>
    </w:p>
    <w:p>
      <w:r>
        <w:t>Selection Criteria:</w:t>
      </w:r>
    </w:p>
    <w:p>
      <w:pPr>
        <w:pStyle w:val="ListNumber"/>
      </w:pPr>
      <w:r>
        <w:t>First, select the highest proxy rate bank from each state (VT, NH, ME)</w:t>
      </w:r>
    </w:p>
    <w:p>
      <w:pPr>
        <w:pStyle w:val="ListNumber"/>
      </w:pPr>
      <w:r>
        <w:t>Then, fill remaining slots with the highest proxy rate banks from the full sample</w:t>
      </w:r>
    </w:p>
    <w:p>
      <w:pPr>
        <w:pStyle w:val="ListNumber"/>
      </w:pPr>
      <w:r>
        <w:t>Tie-breaking: lower CERT number receives priority</w:t>
      </w:r>
    </w:p>
    <w:p/>
    <w:p>
      <w:r>
        <w:t>Selected Banks:</w:t>
      </w:r>
    </w:p>
    <w:p>
      <w:pPr>
        <w:pStyle w:val="ListNumber"/>
      </w:pPr>
      <w:r>
        <w:rPr>
          <w:b/>
        </w:rPr>
        <w:t>THE FIRST NATIONAL BANK OF ORWELL (CERT 6280, VT)</w:t>
      </w:r>
      <w:r>
        <w:t>: Proxy rate 1.6577% (vs 1.4840% prior year, change +0.1737 pp)</w:t>
      </w:r>
    </w:p>
    <w:p>
      <w:pPr>
        <w:pStyle w:val="ListBullet"/>
      </w:pPr>
      <w:r>
        <w:t>Assets: $87,770 thousand</w:t>
      </w:r>
    </w:p>
    <w:p>
      <w:pPr>
        <w:pStyle w:val="ListBullet"/>
      </w:pPr>
      <w:r>
        <w:t>90+ day past due: $0 thousand</w:t>
      </w:r>
    </w:p>
    <w:p>
      <w:pPr>
        <w:pStyle w:val="ListBullet"/>
      </w:pPr>
      <w:r>
        <w:t>Nonaccrual: $1,455 thousand</w:t>
      </w:r>
    </w:p>
    <w:p>
      <w:pPr>
        <w:pStyle w:val="ListBullet"/>
      </w:pPr>
      <w:r>
        <w:t>RE loan concentration: 88.8%</w:t>
      </w:r>
    </w:p>
    <w:p>
      <w:pPr>
        <w:pStyle w:val="ListBullet"/>
      </w:pPr>
      <w:r>
        <w:t>ROA: 1.37%, RBC ratio: 0.00%</w:t>
      </w:r>
    </w:p>
    <w:p>
      <w:pPr>
        <w:pStyle w:val="ListNumber"/>
      </w:pPr>
      <w:r>
        <w:rPr>
          <w:b/>
        </w:rPr>
        <w:t>WALDEN MUTUAL BANK (CERT 59289, NH)</w:t>
      </w:r>
      <w:r>
        <w:t>: Proxy rate 1.9419% (vs 0.3078% prior year, change +1.6341 pp)</w:t>
      </w:r>
    </w:p>
    <w:p>
      <w:pPr>
        <w:pStyle w:val="ListBullet"/>
      </w:pPr>
      <w:r>
        <w:t>Assets: $145,991 thousand</w:t>
      </w:r>
    </w:p>
    <w:p>
      <w:pPr>
        <w:pStyle w:val="ListBullet"/>
      </w:pPr>
      <w:r>
        <w:t>90+ day past due: $0 thousand</w:t>
      </w:r>
    </w:p>
    <w:p>
      <w:pPr>
        <w:pStyle w:val="ListBullet"/>
      </w:pPr>
      <w:r>
        <w:t>Nonaccrual: $2,835 thousand</w:t>
      </w:r>
    </w:p>
    <w:p>
      <w:pPr>
        <w:pStyle w:val="ListBullet"/>
      </w:pPr>
      <w:r>
        <w:t>RE loan concentration: 36.2%</w:t>
      </w:r>
    </w:p>
    <w:p>
      <w:pPr>
        <w:pStyle w:val="ListBullet"/>
      </w:pPr>
      <w:r>
        <w:t>ROA: -0.24%, RBC ratio: 0.00%</w:t>
      </w:r>
    </w:p>
    <w:p>
      <w:pPr>
        <w:pStyle w:val="ListNumber"/>
      </w:pPr>
      <w:r>
        <w:rPr>
          <w:b/>
        </w:rPr>
        <w:t>FIRST FEDERAL SAVINGS AND LOAN ASSOCIATION OF BATH (CERT 29636, ME)</w:t>
      </w:r>
      <w:r>
        <w:t>: Proxy rate 1.6716% (vs 1.5151% prior year, change +0.1565 pp)</w:t>
      </w:r>
    </w:p>
    <w:p>
      <w:pPr>
        <w:pStyle w:val="ListBullet"/>
      </w:pPr>
      <w:r>
        <w:t>Assets: $185,573 thousand</w:t>
      </w:r>
    </w:p>
    <w:p>
      <w:pPr>
        <w:pStyle w:val="ListBullet"/>
      </w:pPr>
      <w:r>
        <w:t>90+ day past due: $0 thousand</w:t>
      </w:r>
    </w:p>
    <w:p>
      <w:pPr>
        <w:pStyle w:val="ListBullet"/>
      </w:pPr>
      <w:r>
        <w:t>Nonaccrual: $3,102 thousand</w:t>
      </w:r>
    </w:p>
    <w:p>
      <w:pPr>
        <w:pStyle w:val="ListBullet"/>
      </w:pPr>
      <w:r>
        <w:t>RE loan concentration: 97.8%</w:t>
      </w:r>
    </w:p>
    <w:p>
      <w:pPr>
        <w:pStyle w:val="ListBullet"/>
      </w:pPr>
      <w:r>
        <w:t>ROA: 0.23%, RBC ratio: 27.17%</w:t>
      </w:r>
    </w:p>
    <w:p>
      <w:pPr>
        <w:pStyle w:val="ListNumber"/>
      </w:pPr>
      <w:r>
        <w:rPr>
          <w:b/>
        </w:rPr>
        <w:t>PRIMARY BANK (CERT 59086, NH)</w:t>
      </w:r>
      <w:r>
        <w:t>: Proxy rate 1.9080% (vs 0.5724% prior year, change +1.3356 pp)</w:t>
      </w:r>
    </w:p>
    <w:p>
      <w:pPr>
        <w:pStyle w:val="ListBullet"/>
      </w:pPr>
      <w:r>
        <w:t>Assets: $724,753 thousand</w:t>
      </w:r>
    </w:p>
    <w:p>
      <w:pPr>
        <w:pStyle w:val="ListBullet"/>
      </w:pPr>
      <w:r>
        <w:t>90+ day past due: $7,830 thousand</w:t>
      </w:r>
    </w:p>
    <w:p>
      <w:pPr>
        <w:pStyle w:val="ListBullet"/>
      </w:pPr>
      <w:r>
        <w:t>Nonaccrual: $5,998 thousand</w:t>
      </w:r>
    </w:p>
    <w:p>
      <w:pPr>
        <w:pStyle w:val="ListBullet"/>
      </w:pPr>
      <w:r>
        <w:t>RE loan concentration: 80.0%</w:t>
      </w:r>
    </w:p>
    <w:p>
      <w:pPr>
        <w:pStyle w:val="ListBullet"/>
      </w:pPr>
      <w:r>
        <w:t>ROA: 1.56%, RBC ratio: 16.78%</w:t>
      </w:r>
    </w:p>
    <w:p>
      <w:pPr>
        <w:pStyle w:val="ListNumber"/>
      </w:pPr>
      <w:r>
        <w:rPr>
          <w:b/>
        </w:rPr>
        <w:t>BAR HARBOR SAVINGS AND LOAN ASSOCIATION (CERT 30878, ME)</w:t>
      </w:r>
      <w:r>
        <w:t>: Proxy rate 1.3679% (vs 1.7771% prior year, change -0.4092 pp)</w:t>
      </w:r>
    </w:p>
    <w:p>
      <w:pPr>
        <w:pStyle w:val="ListBullet"/>
      </w:pPr>
      <w:r>
        <w:t>Assets: $98,909 thousand</w:t>
      </w:r>
    </w:p>
    <w:p>
      <w:pPr>
        <w:pStyle w:val="ListBullet"/>
      </w:pPr>
      <w:r>
        <w:t>90+ day past due: $0 thousand</w:t>
      </w:r>
    </w:p>
    <w:p>
      <w:pPr>
        <w:pStyle w:val="ListBullet"/>
      </w:pPr>
      <w:r>
        <w:t>Nonaccrual: $1,353 thousand</w:t>
      </w:r>
    </w:p>
    <w:p>
      <w:pPr>
        <w:pStyle w:val="ListBullet"/>
      </w:pPr>
      <w:r>
        <w:t>RE loan concentration: 99.8%</w:t>
      </w:r>
    </w:p>
    <w:p>
      <w:pPr>
        <w:pStyle w:val="ListBullet"/>
      </w:pPr>
      <w:r>
        <w:t>ROA: 0.00%, RBC ratio: 0.00%</w:t>
      </w:r>
    </w:p>
    <w:p>
      <w:pPr>
        <w:pStyle w:val="ListNumber"/>
      </w:pPr>
      <w:r>
        <w:rPr>
          <w:b/>
        </w:rPr>
        <w:t>FRANKLIN SAVINGS BANK (CERT 19836, ME)</w:t>
      </w:r>
      <w:r>
        <w:t>: Proxy rate 1.1152% (vs 0.8150% prior year, change +0.3002 pp)</w:t>
      </w:r>
    </w:p>
    <w:p>
      <w:pPr>
        <w:pStyle w:val="ListBullet"/>
      </w:pPr>
      <w:r>
        <w:t>Assets: $755,186 thousand</w:t>
      </w:r>
    </w:p>
    <w:p>
      <w:pPr>
        <w:pStyle w:val="ListBullet"/>
      </w:pPr>
      <w:r>
        <w:t>90+ day past due: $141 thousand</w:t>
      </w:r>
    </w:p>
    <w:p>
      <w:pPr>
        <w:pStyle w:val="ListBullet"/>
      </w:pPr>
      <w:r>
        <w:t>Nonaccrual: $8,281 thousand</w:t>
      </w:r>
    </w:p>
    <w:p>
      <w:pPr>
        <w:pStyle w:val="ListBullet"/>
      </w:pPr>
      <w:r>
        <w:t>RE loan concentration: 91.3%</w:t>
      </w:r>
    </w:p>
    <w:p>
      <w:pPr>
        <w:pStyle w:val="ListBullet"/>
      </w:pPr>
      <w:r>
        <w:t>ROA: 0.84%, RBC ratio: 23.05%</w:t>
      </w:r>
    </w:p>
    <w:p>
      <w:pPr>
        <w:pStyle w:val="ListNumber"/>
      </w:pPr>
      <w:r>
        <w:rPr>
          <w:b/>
        </w:rPr>
        <w:t>UNION BANK (CERT 14158, VT)</w:t>
      </w:r>
      <w:r>
        <w:t>: Proxy rate 1.0315% (vs 0.1379% prior year, change +0.8936 pp)</w:t>
      </w:r>
    </w:p>
    <w:p>
      <w:pPr>
        <w:pStyle w:val="ListBullet"/>
      </w:pPr>
      <w:r>
        <w:t>Assets: $1,479,452 thousand</w:t>
      </w:r>
    </w:p>
    <w:p>
      <w:pPr>
        <w:pStyle w:val="ListBullet"/>
      </w:pPr>
      <w:r>
        <w:t>90+ day past due: $72 thousand</w:t>
      </w:r>
    </w:p>
    <w:p>
      <w:pPr>
        <w:pStyle w:val="ListBullet"/>
      </w:pPr>
      <w:r>
        <w:t>Nonaccrual: $15,189 thousand</w:t>
      </w:r>
    </w:p>
    <w:p>
      <w:pPr>
        <w:pStyle w:val="ListBullet"/>
      </w:pPr>
      <w:r>
        <w:t>RE loan concentration: 92.6%</w:t>
      </w:r>
    </w:p>
    <w:p>
      <w:pPr>
        <w:pStyle w:val="ListBullet"/>
      </w:pPr>
      <w:r>
        <w:t>ROA: 0.70%, RBC ratio: 12.62%</w:t>
      </w:r>
    </w:p>
    <w:p>
      <w:pPr>
        <w:pStyle w:val="ListNumber"/>
      </w:pPr>
      <w:r>
        <w:rPr>
          <w:b/>
        </w:rPr>
        <w:t>NORTHEAST BANK (CERT 19690, ME)</w:t>
      </w:r>
      <w:r>
        <w:t>: Proxy rate 0.8182% (vs 0.9022% prior year, change -0.0840 pp)</w:t>
      </w:r>
    </w:p>
    <w:p>
      <w:pPr>
        <w:pStyle w:val="ListBullet"/>
      </w:pPr>
      <w:r>
        <w:t>Assets: $4,279,069 thousand</w:t>
      </w:r>
    </w:p>
    <w:p>
      <w:pPr>
        <w:pStyle w:val="ListBullet"/>
      </w:pPr>
      <w:r>
        <w:t>90+ day past due: $0 thousand</w:t>
      </w:r>
    </w:p>
    <w:p>
      <w:pPr>
        <w:pStyle w:val="ListBullet"/>
      </w:pPr>
      <w:r>
        <w:t>Nonaccrual: $35,011 thousand</w:t>
      </w:r>
    </w:p>
    <w:p>
      <w:pPr>
        <w:pStyle w:val="ListBullet"/>
      </w:pPr>
      <w:r>
        <w:t>RE loan concentration: 75.3%</w:t>
      </w:r>
    </w:p>
    <w:p>
      <w:pPr>
        <w:pStyle w:val="ListBullet"/>
      </w:pPr>
      <w:r>
        <w:t>ROA: 2.09%, RBC ratio: 14.70%</w:t>
      </w:r>
    </w:p>
    <w:p/>
    <w:p>
      <w:pPr>
        <w:pStyle w:val="Heading1"/>
      </w:pPr>
      <w:r>
        <w:t>Resource Allocation and Budget Constraints</w:t>
      </w:r>
    </w:p>
    <w:p>
      <w:r>
        <w:t>Current Budget:</w:t>
      </w:r>
    </w:p>
    <w:p>
      <w:pPr>
        <w:pStyle w:val="ListBullet"/>
      </w:pPr>
      <w:r>
        <w:t>Available: 13 person-days</w:t>
      </w:r>
    </w:p>
    <w:p>
      <w:pPr>
        <w:pStyle w:val="ListBullet"/>
      </w:pPr>
      <w:r>
        <w:t>Basic review: 1 person-day per bank (8 banks = 8 person-days)</w:t>
      </w:r>
    </w:p>
    <w:p>
      <w:pPr>
        <w:pStyle w:val="ListBullet"/>
      </w:pPr>
      <w:r>
        <w:t>Full review: additional 2 person-days per bank (on top of basic)</w:t>
      </w:r>
    </w:p>
    <w:p>
      <w:pPr>
        <w:pStyle w:val="ListBullet"/>
      </w:pPr>
      <w:r>
        <w:t>Requirement: At least 1 full review per state (VT, NH, ME)</w:t>
      </w:r>
    </w:p>
    <w:p/>
    <w:p>
      <w:r>
        <w:t>Feasibility Analysis:</w:t>
      </w:r>
    </w:p>
    <w:p>
      <w:r>
        <w:t>With 13 person-days and 8 banks:</w:t>
      </w:r>
    </w:p>
    <w:p>
      <w:pPr>
        <w:pStyle w:val="ListBullet"/>
      </w:pPr>
      <w:r>
        <w:t>Minimum requirement: 8 basic reviews (8 days) + 3 full reviews (6 additional days) = 14 person-days</w:t>
      </w:r>
    </w:p>
    <w:p>
      <w:pPr>
        <w:pStyle w:val="ListBullet"/>
      </w:pPr>
      <w:r>
        <w:t>Current budget: 13 person-days</w:t>
      </w:r>
    </w:p>
    <w:p>
      <w:pPr>
        <w:pStyle w:val="ListBullet"/>
      </w:pPr>
      <w:r>
        <w:t>Shortfall: 1 person-day</w:t>
      </w:r>
    </w:p>
    <w:p/>
    <w:p>
      <w:r>
        <w:rPr>
          <w:b/>
        </w:rPr>
        <w:t xml:space="preserve">Conclusion: </w:t>
      </w:r>
      <w:r>
        <w:t xml:space="preserve">The current budget of 13 person-days is </w:t>
      </w:r>
      <w:r>
        <w:rPr>
          <w:b/>
        </w:rPr>
        <w:t>insufficient</w:t>
      </w:r>
      <w:r>
        <w:t xml:space="preserve"> to meet all requirements. The committee must either increase the budget to 14 person-days or reduce the scope (e.g., only 2 full reviews instead of 3).</w:t>
      </w:r>
    </w:p>
    <w:p/>
    <w:p>
      <w:r>
        <w:t>Optimal Allocation (if budget increased to 14 person-days):</w:t>
      </w:r>
    </w:p>
    <w:p>
      <w:r>
        <w:t>To maximize the sum of (P9ASSET + NAASSET) among full review banks, with exactly one full review per state:</w:t>
      </w:r>
    </w:p>
    <w:p>
      <w:r>
        <w:t>Full review banks (3 banks × 3 days each = 9 person-days):</w:t>
      </w:r>
    </w:p>
    <w:p>
      <w:pPr>
        <w:pStyle w:val="ListBullet"/>
      </w:pPr>
      <w:r>
        <w:t>UNION BANK (VT): P9+NA = $15,261 thousand</w:t>
      </w:r>
    </w:p>
    <w:p>
      <w:pPr>
        <w:pStyle w:val="ListBullet"/>
      </w:pPr>
      <w:r>
        <w:t>PRIMARY BANK (NH): P9+NA = $13,828 thousand</w:t>
      </w:r>
    </w:p>
    <w:p>
      <w:pPr>
        <w:pStyle w:val="ListBullet"/>
      </w:pPr>
      <w:r>
        <w:t>NORTHEAST BANK (ME): P9+NA = $35,011 thousand</w:t>
      </w:r>
    </w:p>
    <w:p>
      <w:r>
        <w:t>Basic review banks (5 banks × 1 day each = 5 person-days):</w:t>
      </w:r>
    </w:p>
    <w:p>
      <w:pPr>
        <w:pStyle w:val="ListBullet"/>
      </w:pPr>
      <w:r>
        <w:t>THE FIRST NATIONAL BANK OF ORWELL (VT)</w:t>
      </w:r>
    </w:p>
    <w:p>
      <w:pPr>
        <w:pStyle w:val="ListBullet"/>
      </w:pPr>
      <w:r>
        <w:t>WALDEN MUTUAL BANK (NH)</w:t>
      </w:r>
    </w:p>
    <w:p>
      <w:pPr>
        <w:pStyle w:val="ListBullet"/>
      </w:pPr>
      <w:r>
        <w:t>FIRST FEDERAL SAVINGS AND LOAN ASSOCIATION OF BATH (ME)</w:t>
      </w:r>
    </w:p>
    <w:p>
      <w:pPr>
        <w:pStyle w:val="ListBullet"/>
      </w:pPr>
      <w:r>
        <w:t>BAR HARBOR SAVINGS AND LOAN ASSOCIATION (ME)</w:t>
      </w:r>
    </w:p>
    <w:p>
      <w:pPr>
        <w:pStyle w:val="ListBullet"/>
      </w:pPr>
      <w:r>
        <w:t>FRANKLIN SAVINGS BANK (ME)</w:t>
      </w:r>
    </w:p>
    <w:p>
      <w:r>
        <w:t>Total: 14 person-days (9 + 5)</w:t>
      </w:r>
    </w:p>
    <w:p/>
    <w:p>
      <w:pPr>
        <w:pStyle w:val="Heading1"/>
      </w:pPr>
      <w:r>
        <w:t>Decision Audit: Review of Internal Claims</w:t>
      </w:r>
    </w:p>
    <w:p>
      <w:r>
        <w:t>The committee identified two internal claims (FIN-D1, FIN-D2) for verification:</w:t>
      </w:r>
    </w:p>
    <w:p/>
    <w:p>
      <w:r>
        <w:rPr>
          <w:b/>
        </w:rPr>
        <w:t xml:space="preserve">FIN-D1: </w:t>
      </w:r>
      <w:r>
        <w:t>"Fixed-bank set changes have removed asset weight effects, so remaining changes can be called bank-specific credit deterioration."</w:t>
      </w:r>
    </w:p>
    <w:p/>
    <w:p>
      <w:r>
        <w:rPr>
          <w:b/>
        </w:rPr>
        <w:t xml:space="preserve">Assessment: </w:t>
      </w:r>
      <w:r>
        <w:t xml:space="preserve">This claim is </w:t>
      </w:r>
      <w:r>
        <w:rPr>
          <w:b/>
        </w:rPr>
        <w:t>partially incorrect</w:t>
      </w:r>
      <w:r>
        <w:t>.</w:t>
      </w:r>
    </w:p>
    <w:p>
      <w:pPr>
        <w:pStyle w:val="ListBullet"/>
      </w:pPr>
      <w:r>
        <w:t>The fixed-weight bridge (using 2024 assets as weights) does isolate within-bank rate changes from asset mix shifts</w:t>
      </w:r>
    </w:p>
    <w:p>
      <w:pPr>
        <w:pStyle w:val="ListBullet"/>
      </w:pPr>
      <w:r>
        <w:t>However, the Shapley decomposition shows that asset weight changes still contributed +0.0156 pp (21% of the common set change)</w:t>
      </w:r>
    </w:p>
    <w:p>
      <w:pPr>
        <w:pStyle w:val="ListBullet"/>
      </w:pPr>
      <w:r>
        <w:t>Therefore, the fixed-weight analysis does not fully remove weight effects; it holds weights constant at one point in time</w:t>
      </w:r>
    </w:p>
    <w:p>
      <w:pPr>
        <w:pStyle w:val="ListBullet"/>
      </w:pPr>
      <w:r>
        <w:t>The symmetric decomposition (Shapley) properly separates rate and weight contributions, showing both matter</w:t>
      </w:r>
    </w:p>
    <w:p>
      <w:pPr>
        <w:pStyle w:val="ListBullet"/>
      </w:pPr>
      <w:r>
        <w:t>Calling the entire fixed-weight change "bank-specific deterioration" overstates the case; 21% reflects asset mix shifts</w:t>
      </w:r>
    </w:p>
    <w:p/>
    <w:p>
      <w:r>
        <w:rPr>
          <w:b/>
        </w:rPr>
        <w:t xml:space="preserve">Resource decision impact: </w:t>
      </w:r>
      <w:r>
        <w:t>The committee should recognize that both within-bank credit changes and portfolio composition shifts contributed to the regional increase. Review procedures should examine both loan quality and lending strategy.</w:t>
      </w:r>
    </w:p>
    <w:p/>
    <w:p>
      <w:r>
        <w:rPr>
          <w:b/>
        </w:rPr>
        <w:t xml:space="preserve">FIN-D2: </w:t>
      </w:r>
      <w:r>
        <w:t>"13 person-days is sufficient for 8 basic reviews plus 3 full reviews (one per state)."</w:t>
      </w:r>
    </w:p>
    <w:p/>
    <w:p>
      <w:r>
        <w:rPr>
          <w:b/>
        </w:rPr>
        <w:t xml:space="preserve">Assessment: </w:t>
      </w:r>
      <w:r>
        <w:t xml:space="preserve">This claim is </w:t>
      </w:r>
      <w:r>
        <w:rPr>
          <w:b/>
        </w:rPr>
        <w:t>incorrect</w:t>
      </w:r>
      <w:r>
        <w:t>.</w:t>
      </w:r>
    </w:p>
    <w:p>
      <w:pPr>
        <w:pStyle w:val="ListBullet"/>
      </w:pPr>
      <w:r>
        <w:t>8 basic reviews × 1 day = 8 person-days</w:t>
      </w:r>
    </w:p>
    <w:p>
      <w:pPr>
        <w:pStyle w:val="ListBullet"/>
      </w:pPr>
      <w:r>
        <w:t>3 full reviews × (1 + 2) days = 9 person-days (each full review includes the basic review plus 2 additional days)</w:t>
      </w:r>
    </w:p>
    <w:p>
      <w:pPr>
        <w:pStyle w:val="ListBullet"/>
      </w:pPr>
      <w:r>
        <w:t>Total required: 8 + 6 = 14 person-days (not 13)</w:t>
      </w:r>
    </w:p>
    <w:p>
      <w:pPr>
        <w:pStyle w:val="ListBullet"/>
      </w:pPr>
      <w:r>
        <w:t>The claim appears to count full reviews as 2 days total instead of 3 days total (1 basic + 2 additional)</w:t>
      </w:r>
    </w:p>
    <w:p/>
    <w:p>
      <w:r>
        <w:rPr>
          <w:b/>
        </w:rPr>
        <w:t xml:space="preserve">Resource decision impact: </w:t>
      </w:r>
      <w:r>
        <w:t>The committee must either approve 14 person-days or reduce scope. The analysis above shows the optimal allocation if 14 days are approved.</w:t>
      </w:r>
    </w:p>
    <w:p/>
    <w:p>
      <w:pPr>
        <w:pStyle w:val="Heading1"/>
      </w:pPr>
      <w:r>
        <w:t>FDIC Loan Manual Guidance and Review Limitations</w:t>
      </w:r>
    </w:p>
    <w:p>
      <w:r>
        <w:t>Key Review Focus Areas (from FDIC RMS Manual 3.2):</w:t>
      </w:r>
    </w:p>
    <w:p>
      <w:pPr>
        <w:pStyle w:val="ListNumber"/>
      </w:pPr>
      <w:r>
        <w:rPr>
          <w:b/>
        </w:rPr>
        <w:t>Loan Classification and Risk Rating</w:t>
      </w:r>
      <w:r>
        <w:t>: Examine whether loans are properly classified (pass, special mention, substandard, doubtful, loss). Verify that 90+ day past due loans are appropriately identified and that nonaccrual status is applied consistently.</w:t>
      </w:r>
    </w:p>
    <w:p>
      <w:pPr>
        <w:pStyle w:val="ListNumber"/>
      </w:pPr>
      <w:r>
        <w:rPr>
          <w:b/>
        </w:rPr>
        <w:t>Real Estate Loan Concentration</w:t>
      </w:r>
      <w:r>
        <w:t>: Assess the proportion of loans secured by real estate (LNRE/LNLSGR). High concentration increases vulnerability to real estate market downturns. Review underwriting standards, LTV ratios, and geographic diversification.</w:t>
      </w:r>
    </w:p>
    <w:p>
      <w:pPr>
        <w:pStyle w:val="ListNumber"/>
      </w:pPr>
      <w:r>
        <w:rPr>
          <w:b/>
        </w:rPr>
        <w:t>Capital Adequacy</w:t>
      </w:r>
      <w:r>
        <w:t>: Evaluate risk-based capital ratios (RBCRWAJ) relative to loan risk. Banks with high proxy rates but low capital ratios face greater insolvency risk.</w:t>
      </w:r>
    </w:p>
    <w:p>
      <w:pPr>
        <w:pStyle w:val="ListNumber"/>
      </w:pPr>
      <w:r>
        <w:rPr>
          <w:b/>
        </w:rPr>
        <w:t>Earnings and Profitability</w:t>
      </w:r>
      <w:r>
        <w:t>: Review ROA trends. Persistent losses or declining profitability may indicate emerging credit problems or inadequate loan loss provisioning.</w:t>
      </w:r>
    </w:p>
    <w:p>
      <w:pPr>
        <w:pStyle w:val="ListNumber"/>
      </w:pPr>
      <w:r>
        <w:rPr>
          <w:b/>
        </w:rPr>
        <w:t>Allowance for Loan and Lease Losses</w:t>
      </w:r>
      <w:r>
        <w:t>: Assess whether the ALLL is adequate given the level of classified assets. Compare ALLL to noncurrent loans and historical loss experience.</w:t>
      </w:r>
    </w:p>
    <w:p/>
    <w:p>
      <w:r>
        <w:t>Limitations of Proxy Rate as a Risk Indicator:</w:t>
      </w:r>
    </w:p>
    <w:p>
      <w:pPr>
        <w:pStyle w:val="ListBullet"/>
      </w:pPr>
      <w:r>
        <w:t>The proxy rate combines 90+ day past due and nonaccrual loans but does not distinguish between them. A bank with 1% nonaccrual may be in worse condition than a bank with 1% past due but still accruing.</w:t>
      </w:r>
    </w:p>
    <w:p>
      <w:pPr>
        <w:pStyle w:val="ListBullet"/>
      </w:pPr>
      <w:r>
        <w:t>The proxy rate does not incorporate risk weights. A portfolio of residential mortgages carries different risk than a portfolio of commercial real estate loans, even if both have the same proxy rate.</w:t>
      </w:r>
    </w:p>
    <w:p>
      <w:pPr>
        <w:pStyle w:val="ListBullet"/>
      </w:pPr>
      <w:r>
        <w:t>The proxy rate is a point-in-time measure. It does not capture trends (improving or deteriorating) or seasonality.</w:t>
      </w:r>
    </w:p>
    <w:p>
      <w:pPr>
        <w:pStyle w:val="ListBullet"/>
      </w:pPr>
      <w:r>
        <w:t>The proxy rate does not reflect loan loss reserves. A bank with high noncurrent loans but adequate reserves may be in better condition than a bank with lower noncurrent loans but inadequate reserves.</w:t>
      </w:r>
    </w:p>
    <w:p>
      <w:pPr>
        <w:pStyle w:val="ListBullet"/>
      </w:pPr>
      <w:r>
        <w:t>The proxy rate does not capture off-balance-sheet exposures, derivatives, or other contingent liabilities.</w:t>
      </w:r>
    </w:p>
    <w:p>
      <w:pPr>
        <w:pStyle w:val="ListBullet"/>
      </w:pPr>
      <w:r>
        <w:t>Regulatory thresholds (e.g., "well capitalized," "undercapitalized") are not provided in the source materials and should not be inferred from the proxy rate alone.</w:t>
      </w:r>
    </w:p>
    <w:p/>
    <w:p>
      <w:pPr>
        <w:pStyle w:val="Heading1"/>
      </w:pPr>
      <w:r>
        <w:t>Recommendations</w:t>
      </w:r>
    </w:p>
    <w:p>
      <w:r>
        <w:t>For the Committee:</w:t>
      </w:r>
    </w:p>
    <w:p>
      <w:pPr>
        <w:pStyle w:val="ListNumber"/>
      </w:pPr>
      <w:r>
        <w:rPr>
          <w:b/>
        </w:rPr>
        <w:t>Approve 14 person-days</w:t>
      </w:r>
      <w:r>
        <w:t>: The current 13-day budget is insufficient to meet the requirement of one full review per state. Increasing to 14 days enables the optimal allocation described above.</w:t>
      </w:r>
    </w:p>
    <w:p>
      <w:pPr>
        <w:pStyle w:val="ListNumber"/>
      </w:pPr>
      <w:r>
        <w:rPr>
          <w:b/>
        </w:rPr>
        <w:t>Prioritize Maine banks</w:t>
      </w:r>
      <w:r>
        <w:t>: Maine contributed 0.0760 pp to the regional increase (vs VT +0.0173 pp and NH -0.0195 pp). Maine banks should receive heightened scrutiny.</w:t>
      </w:r>
    </w:p>
    <w:p>
      <w:pPr>
        <w:pStyle w:val="ListNumber"/>
      </w:pPr>
      <w:r>
        <w:rPr>
          <w:b/>
        </w:rPr>
        <w:t>Focus on within-bank changes</w:t>
      </w:r>
      <w:r>
        <w:t>: 79% of the common set increase came from individual bank rate changes, not asset mix shifts. Review procedures should emphasize loan quality deterioration.</w:t>
      </w:r>
    </w:p>
    <w:p>
      <w:pPr>
        <w:pStyle w:val="ListNumber"/>
      </w:pPr>
      <w:r>
        <w:rPr>
          <w:b/>
        </w:rPr>
        <w:t>Examine real estate concentration</w:t>
      </w:r>
      <w:r>
        <w:t>: All three states show RE loan concentrations above 86%. Review underwriting standards and geographic diversification.</w:t>
      </w:r>
    </w:p>
    <w:p>
      <w:pPr>
        <w:pStyle w:val="ListNumber"/>
      </w:pPr>
      <w:r>
        <w:rPr>
          <w:b/>
        </w:rPr>
        <w:t>Monitor exited banks</w:t>
      </w:r>
      <w:r>
        <w:t>: Two banks (CERT 14240, 17748) exited the sample. Determine whether these were mergers, failures, or other events and assess any systemic implications.</w:t>
      </w:r>
    </w:p>
    <w:p/>
    <w:p>
      <w:r>
        <w:t>For Review Teams:</w:t>
      </w:r>
    </w:p>
    <w:p>
      <w:pPr>
        <w:pStyle w:val="ListBullet"/>
      </w:pPr>
      <w:r>
        <w:t>Verify loan classification accuracy. Sample 90+ day past due loans and confirm proper risk rating.</w:t>
      </w:r>
    </w:p>
    <w:p>
      <w:pPr>
        <w:pStyle w:val="ListBullet"/>
      </w:pPr>
      <w:r>
        <w:t>Assess nonaccrual policies. Compare nonaccrual balances to peer banks and investigate significant deviations.</w:t>
      </w:r>
    </w:p>
    <w:p>
      <w:pPr>
        <w:pStyle w:val="ListBullet"/>
      </w:pPr>
      <w:r>
        <w:t>Evaluate real estate loan underwriting. Review LTV ratios, debt service coverage, and appraisal quality.</w:t>
      </w:r>
    </w:p>
    <w:p>
      <w:pPr>
        <w:pStyle w:val="ListBullet"/>
      </w:pPr>
      <w:r>
        <w:t>Test capital adequacy under stress scenarios. Model capital ratios under adverse real estate and economic conditions.</w:t>
      </w:r>
    </w:p>
    <w:p>
      <w:pPr>
        <w:pStyle w:val="ListBullet"/>
      </w:pPr>
      <w:r>
        <w:t>Review earnings quality. Identify whether profitability is sustainable or dependent on one-time gains or inadequate provisioning.</w:t>
      </w:r>
    </w:p>
    <w:p>
      <w:pPr>
        <w:pStyle w:val="ListBullet"/>
      </w:pPr>
      <w:r>
        <w:t>Document findings clearly. Distinguish between observed facts (e.g., "proxy rate increased 0.50 pp") and interpretations (e.g., "credit quality deteriorated").</w:t>
      </w:r>
    </w:p>
    <w:p/>
    <w:p>
      <w:pPr>
        <w:pStyle w:val="Heading1"/>
      </w:pPr>
      <w:r>
        <w:t>Conclusion</w:t>
      </w:r>
    </w:p>
    <w:p>
      <w:r>
        <w:t>The three-state region experienced a modest increase in the proxy rate (0.0696 pp) from June 2024 to June 2025. The increase was driven primarily by within-bank credit deterioration (79%) rather than asset mix shifts (21%). Maine was the largest contributor to the regional increase, while New Hampshire saw offsetting rate improvements and weight effects.</w:t>
      </w:r>
    </w:p>
    <w:p/>
    <w:p>
      <w:r>
        <w:t>Eight banks have been selected for priority review based on their 2025-06-30 proxy rates. The current budget of 13 person-days is insufficient to meet the requirement of one full review per state; the committee should approve 14 person-days to enable the optimal allocation described in this memorandum.</w:t>
      </w:r>
    </w:p>
    <w:p/>
    <w:p>
      <w:r>
        <w:t>Review teams should focus on loan classification accuracy, real estate concentration, capital adequacy, and earnings quality. The proxy rate is a useful screening tool but has significant limitations and should not be interpreted as a regulatory rating or used to infer supervisory classifications.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