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Approval Brief — Cross-FY Training Conference</w:t>
      </w:r>
    </w:p>
    <w:p>
      <w:pPr>
        <w:pStyle w:val="Heading1"/>
      </w:pPr>
      <w:r>
        <w:t>1. Purpose and Scope</w:t>
      </w:r>
    </w:p>
    <w:p>
      <w:r>
        <w:t>Five-day training (2025-09-28 to 10-02), four nights lodging, single-occupancy. Compare 3 cities × 2 headcounts (6 options). Budget cap $53,000 incl. 5% reserve. FY2025 cap $41,000; FY2026 cap $12,000; max $1,500 FY26→FY2025 internal transfer (unapproved).</w:t>
      </w:r>
    </w:p>
    <w:p>
      <w:pPr>
        <w:pStyle w:val="Heading1"/>
      </w:pPr>
      <w:r>
        <w:t>2. GSA Rate Source and Cross-Year Match</w:t>
      </w:r>
    </w:p>
    <w:p>
      <w:r>
        <w:t>Source page: https://www.gsa.gov/travel/plan-a-trip/per-diem-rates/per-diem-files — links the MasterRatesFile.xlsx to the MIE Breakdown .docx. This page is the single citation that ties the rate file to the meal-breakdown file used for deductions.</w:t>
      </w:r>
    </w:p>
    <w:p>
      <w:r>
        <w:t>FY2025 MasterRatesFile.xlsx (Row 2 header: ID/STATE/DESTINATION/COUNTY/SEASON BEGIN/SEASON END/FY25 Lodging/FY25 M&amp;IE):</w:t>
      </w:r>
    </w:p>
    <w:p>
      <w:pPr>
        <w:pStyle w:val="ListBullet"/>
      </w:pPr>
      <w:r>
        <w:t xml:space="preserve">  • Chicago, Cook/Lake — Row 258 (Sep 1–Sep 30): Lodging $223, M&amp;IE $92</w:t>
      </w:r>
    </w:p>
    <w:p>
      <w:pPr>
        <w:pStyle w:val="ListBullet"/>
      </w:pPr>
      <w:r>
        <w:t xml:space="preserve">  • Denver/Aurora, Denver/Adams/Arapahoe/Jefferson — Row 109 (Apr 1–Sep 30): Lodging $215, M&amp;IE $92</w:t>
      </w:r>
    </w:p>
    <w:p>
      <w:pPr>
        <w:pStyle w:val="ListBullet"/>
      </w:pPr>
      <w:r>
        <w:t xml:space="preserve">  • Phoenix/Scottsdale, Maricopa — Row 22 (Sep 1–Sep 30): Lodging $160, M&amp;IE $86</w:t>
      </w:r>
    </w:p>
    <w:p>
      <w:r>
        <w:t>FY2026 MasterRatesFile.xlsx (same row numbers, FY26 columns): Row 258 Chicago $223/$92; Row 109 Denver $215/$92; Row 22 Phoenix $160/$86. The 10-01 night falls in FY2026 but the season window that covers it continues from the prior FY — rates are identical across the FY boundary for all three cities. Cross-year transition therefore does not change per-diem amounts.</w:t>
      </w:r>
    </w:p>
    <w:p>
      <w:r>
        <w:t>MIE Breakdown: GSA_FY2025_MIE_Breakdown.docx table — $86 tier (B=$22/L=$23/D=$36/I=$5/FL=$64.50); $92 tier (B=$23/L=$26/D=$38/I=$5/FL=$69.00). Linked from gsa_per_diem_files.html at https://www.gsa.gov/system/files/FY%202025%20MIE%20Breakdown.docx.</w:t>
      </w:r>
    </w:p>
    <w:p>
      <w:pPr>
        <w:pStyle w:val="Heading1"/>
      </w:pPr>
      <w:r>
        <w:t>3. Daily Per-Person Detail (per city)</w:t>
      </w:r>
    </w:p>
    <w:p>
      <w:r>
        <w:t>Lodging tax = 12% of quoted rate (internal budget assumption; not local rate). Tax is part of actual lodging cost reimbursable under 301-11.100 but the cap applies to the pre-tax lodging rate. Quoted rates are below all caps → no actual-expense authorization needed.</w:t>
      </w:r>
    </w:p>
    <w:p>
      <w:r>
        <w:t>Hotel free breakfast: no M&amp;IE deduction (301-11.17). Coffee/fruit breaks: no deduction (301-74.7). Government-furnished meals and registration-included lunches: deducted per 301-11.18 using the MIE Breakdown table. On first/last day the deduction applies against the reduced (75%) M&amp;IE rate; floor = incidental expenses ($5).</w:t>
      </w:r>
    </w:p>
    <w:p>
      <w:r>
        <w:t>Chicago (Cook County):</w:t>
      </w:r>
    </w:p>
    <w:p>
      <w:pPr>
        <w:pStyle w:val="ListBullet"/>
      </w:pPr>
      <w:r>
        <w:t xml:space="preserve">  Quoted: $218.00/night; Cap FY25/FY26: $223.00; Tax: $26.16/night; Total: $244.16/night — compliant</w:t>
      </w:r>
    </w:p>
    <w:p>
      <w:pPr>
        <w:pStyle w:val="ListBullet"/>
      </w:pPr>
      <w:r>
        <w:t xml:space="preserve">  M&amp;IE FY25 (09-28 to 09-30): $163.00/person; FY26 (10-01 to 10-02): $71.00/person; 5-day total: $234.00</w:t>
      </w:r>
    </w:p>
    <w:p>
      <w:pPr>
        <w:pStyle w:val="ListBullet"/>
      </w:pPr>
      <w:r>
        <w:t xml:space="preserve">  09-28 first day: 75% base minus dinner (Gov welcome dinner); 09-29 &amp; 09-30: full MIE minus lunch (reg-included); 10-01: full MIE minus lunch (reg) and dinner (Gov); 10-02 last day: 75% base minus lunch (Gov departure lunch). Floor ($5) not triggered.</w:t>
      </w:r>
    </w:p>
    <w:p>
      <w:r>
        <w:t>Denver (Denver County):</w:t>
      </w:r>
    </w:p>
    <w:p>
      <w:pPr>
        <w:pStyle w:val="ListBullet"/>
      </w:pPr>
      <w:r>
        <w:t xml:space="preserve">  Quoted: $209.00/night; Cap FY25/FY26: $215.00; Tax: $25.08/night; Total: $234.08/night — compliant</w:t>
      </w:r>
    </w:p>
    <w:p>
      <w:pPr>
        <w:pStyle w:val="ListBullet"/>
      </w:pPr>
      <w:r>
        <w:t xml:space="preserve">  M&amp;IE FY25 (09-28 to 09-30): $163.00/person; FY26 (10-01 to 10-02): $71.00/person; 5-day total: $234.00</w:t>
      </w:r>
    </w:p>
    <w:p>
      <w:pPr>
        <w:pStyle w:val="ListBullet"/>
      </w:pPr>
      <w:r>
        <w:t xml:space="preserve">  09-28 first day: 75% base minus dinner (Gov welcome dinner); 09-29 &amp; 09-30: full MIE minus lunch (reg-included); 10-01: full MIE minus lunch (reg) and dinner (Gov); 10-02 last day: 75% base minus lunch (Gov departure lunch). Floor ($5) not triggered.</w:t>
      </w:r>
    </w:p>
    <w:p>
      <w:r>
        <w:t>Phoenix (Maricopa County):</w:t>
      </w:r>
    </w:p>
    <w:p>
      <w:pPr>
        <w:pStyle w:val="ListBullet"/>
      </w:pPr>
      <w:r>
        <w:t xml:space="preserve">  Quoted: $155.00/night; Cap FY25/FY26: $160.00; Tax: $18.60/night; Total: $173.60/night — compliant</w:t>
      </w:r>
    </w:p>
    <w:p>
      <w:pPr>
        <w:pStyle w:val="ListBullet"/>
      </w:pPr>
      <w:r>
        <w:t xml:space="preserve">  M&amp;IE FY25 (09-28 to 09-30): $154.50/person; FY26 (10-01 to 10-02): $68.50/person; 5-day total: $223.00</w:t>
      </w:r>
    </w:p>
    <w:p>
      <w:pPr>
        <w:pStyle w:val="ListBullet"/>
      </w:pPr>
      <w:r>
        <w:t xml:space="preserve">  09-28 first day: 75% base minus dinner (Gov welcome dinner); 09-29 &amp; 09-30: full MIE minus lunch (reg-included); 10-01: full MIE minus lunch (reg) and dinner (Gov); 10-02 last day: 75% base minus lunch (Gov departure lunch). Floor ($5) not triggered.</w:t>
      </w:r>
    </w:p>
    <w:p>
      <w:pPr>
        <w:pStyle w:val="Heading1"/>
      </w:pPr>
      <w:r>
        <w:t>4. Six-Option Comparison (FundingBridge)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City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Base</w:t>
            </w:r>
          </w:p>
        </w:tc>
        <w:tc>
          <w:tcPr>
            <w:tcW w:type="dxa" w:w="864"/>
          </w:tcPr>
          <w:p>
            <w:r>
              <w:t>5% Reserve</w:t>
            </w:r>
          </w:p>
        </w:tc>
        <w:tc>
          <w:tcPr>
            <w:tcW w:type="dxa" w:w="864"/>
          </w:tcPr>
          <w:p>
            <w:r>
              <w:t>Total w/Reserve</w:t>
            </w:r>
          </w:p>
        </w:tc>
        <w:tc>
          <w:tcPr>
            <w:tcW w:type="dxa" w:w="864"/>
          </w:tcPr>
          <w:p>
            <w:r>
              <w:t>FY25 w/5%</w:t>
            </w:r>
          </w:p>
        </w:tc>
        <w:tc>
          <w:tcPr>
            <w:tcW w:type="dxa" w:w="864"/>
          </w:tcPr>
          <w:p>
            <w:r>
              <w:t>FY26 w/5%</w:t>
            </w:r>
          </w:p>
        </w:tc>
        <w:tc>
          <w:tcPr>
            <w:tcW w:type="dxa" w:w="864"/>
          </w:tcPr>
          <w:p>
            <w:r>
              <w:t>Orig FY25 Margin</w:t>
            </w:r>
          </w:p>
        </w:tc>
        <w:tc>
          <w:tcPr>
            <w:tcW w:type="dxa" w:w="864"/>
          </w:tcPr>
          <w:p>
            <w:r>
              <w:t>Min Transfer</w:t>
            </w:r>
          </w:p>
        </w:tc>
        <w:tc>
          <w:tcPr>
            <w:tcW w:type="dxa" w:w="864"/>
          </w:tcPr>
          <w:p>
            <w:r>
              <w:t>Feasible</w:t>
            </w:r>
          </w:p>
        </w:tc>
      </w:tr>
      <w:tr>
        <w:tc>
          <w:tcPr>
            <w:tcW w:type="dxa" w:w="864"/>
          </w:tcPr>
          <w:p>
            <w:r>
              <w:t>Phoenix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$38,553.20</w:t>
            </w:r>
          </w:p>
        </w:tc>
        <w:tc>
          <w:tcPr>
            <w:tcW w:type="dxa" w:w="864"/>
          </w:tcPr>
          <w:p>
            <w:r>
              <w:t>$1,927.66</w:t>
            </w:r>
          </w:p>
        </w:tc>
        <w:tc>
          <w:tcPr>
            <w:tcW w:type="dxa" w:w="864"/>
          </w:tcPr>
          <w:p>
            <w:r>
              <w:t>$40,480.86</w:t>
            </w:r>
          </w:p>
        </w:tc>
        <w:tc>
          <w:tcPr>
            <w:tcW w:type="dxa" w:w="864"/>
          </w:tcPr>
          <w:p>
            <w:r>
              <w:t>$33,920.67</w:t>
            </w:r>
          </w:p>
        </w:tc>
        <w:tc>
          <w:tcPr>
            <w:tcW w:type="dxa" w:w="864"/>
          </w:tcPr>
          <w:p>
            <w:r>
              <w:t>$6,560.19</w:t>
            </w:r>
          </w:p>
        </w:tc>
        <w:tc>
          <w:tcPr>
            <w:tcW w:type="dxa" w:w="864"/>
          </w:tcPr>
          <w:p>
            <w:r>
              <w:t>$7,079.33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Denver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$42,185.76</w:t>
            </w:r>
          </w:p>
        </w:tc>
        <w:tc>
          <w:tcPr>
            <w:tcW w:type="dxa" w:w="864"/>
          </w:tcPr>
          <w:p>
            <w:r>
              <w:t>$2,109.29</w:t>
            </w:r>
          </w:p>
        </w:tc>
        <w:tc>
          <w:tcPr>
            <w:tcW w:type="dxa" w:w="864"/>
          </w:tcPr>
          <w:p>
            <w:r>
              <w:t>$44,295.05</w:t>
            </w:r>
          </w:p>
        </w:tc>
        <w:tc>
          <w:tcPr>
            <w:tcW w:type="dxa" w:w="864"/>
          </w:tcPr>
          <w:p>
            <w:r>
              <w:t>$36,733.54</w:t>
            </w:r>
          </w:p>
        </w:tc>
        <w:tc>
          <w:tcPr>
            <w:tcW w:type="dxa" w:w="864"/>
          </w:tcPr>
          <w:p>
            <w:r>
              <w:t>$7,561.51</w:t>
            </w:r>
          </w:p>
        </w:tc>
        <w:tc>
          <w:tcPr>
            <w:tcW w:type="dxa" w:w="864"/>
          </w:tcPr>
          <w:p>
            <w:r>
              <w:t>$4,266.46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Chicago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$43,351.52</w:t>
            </w:r>
          </w:p>
        </w:tc>
        <w:tc>
          <w:tcPr>
            <w:tcW w:type="dxa" w:w="864"/>
          </w:tcPr>
          <w:p>
            <w:r>
              <w:t>$2,167.58</w:t>
            </w:r>
          </w:p>
        </w:tc>
        <w:tc>
          <w:tcPr>
            <w:tcW w:type="dxa" w:w="864"/>
          </w:tcPr>
          <w:p>
            <w:r>
              <w:t>$45,519.10</w:t>
            </w:r>
          </w:p>
        </w:tc>
        <w:tc>
          <w:tcPr>
            <w:tcW w:type="dxa" w:w="864"/>
          </w:tcPr>
          <w:p>
            <w:r>
              <w:t>$37,672.57</w:t>
            </w:r>
          </w:p>
        </w:tc>
        <w:tc>
          <w:tcPr>
            <w:tcW w:type="dxa" w:w="864"/>
          </w:tcPr>
          <w:p>
            <w:r>
              <w:t>$7,846.52</w:t>
            </w:r>
          </w:p>
        </w:tc>
        <w:tc>
          <w:tcPr>
            <w:tcW w:type="dxa" w:w="864"/>
          </w:tcPr>
          <w:p>
            <w:r>
              <w:t>$3,327.43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Phoenix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$48,737.60</w:t>
            </w:r>
          </w:p>
        </w:tc>
        <w:tc>
          <w:tcPr>
            <w:tcW w:type="dxa" w:w="864"/>
          </w:tcPr>
          <w:p>
            <w:r>
              <w:t>$2,436.88</w:t>
            </w:r>
          </w:p>
        </w:tc>
        <w:tc>
          <w:tcPr>
            <w:tcW w:type="dxa" w:w="864"/>
          </w:tcPr>
          <w:p>
            <w:r>
              <w:t>$51,174.48</w:t>
            </w:r>
          </w:p>
        </w:tc>
        <w:tc>
          <w:tcPr>
            <w:tcW w:type="dxa" w:w="864"/>
          </w:tcPr>
          <w:p>
            <w:r>
              <w:t>$42,427.56</w:t>
            </w:r>
          </w:p>
        </w:tc>
        <w:tc>
          <w:tcPr>
            <w:tcW w:type="dxa" w:w="864"/>
          </w:tcPr>
          <w:p>
            <w:r>
              <w:t>$8,746.92</w:t>
            </w:r>
          </w:p>
        </w:tc>
        <w:tc>
          <w:tcPr>
            <w:tcW w:type="dxa" w:w="864"/>
          </w:tcPr>
          <w:p>
            <w:r>
              <w:t>-$1,427.56</w:t>
            </w:r>
          </w:p>
        </w:tc>
        <w:tc>
          <w:tcPr>
            <w:tcW w:type="dxa" w:w="864"/>
          </w:tcPr>
          <w:p>
            <w:r>
              <w:t>$1,427.56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Denver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$52,747.68</w:t>
            </w:r>
          </w:p>
        </w:tc>
        <w:tc>
          <w:tcPr>
            <w:tcW w:type="dxa" w:w="864"/>
          </w:tcPr>
          <w:p>
            <w:r>
              <w:t>$2,637.38</w:t>
            </w:r>
          </w:p>
        </w:tc>
        <w:tc>
          <w:tcPr>
            <w:tcW w:type="dxa" w:w="864"/>
          </w:tcPr>
          <w:p>
            <w:r>
              <w:t>$55,385.06</w:t>
            </w:r>
          </w:p>
        </w:tc>
        <w:tc>
          <w:tcPr>
            <w:tcW w:type="dxa" w:w="864"/>
          </w:tcPr>
          <w:p>
            <w:r>
              <w:t>$45,303.05</w:t>
            </w:r>
          </w:p>
        </w:tc>
        <w:tc>
          <w:tcPr>
            <w:tcW w:type="dxa" w:w="864"/>
          </w:tcPr>
          <w:p>
            <w:r>
              <w:t>$10,082.02</w:t>
            </w:r>
          </w:p>
        </w:tc>
        <w:tc>
          <w:tcPr>
            <w:tcW w:type="dxa" w:w="864"/>
          </w:tcPr>
          <w:p>
            <w:r>
              <w:t>-$4,303.05</w:t>
            </w:r>
          </w:p>
        </w:tc>
        <w:tc>
          <w:tcPr>
            <w:tcW w:type="dxa" w:w="864"/>
          </w:tcPr>
          <w:p>
            <w:r>
              <w:t>$4,303.05</w:t>
            </w:r>
          </w:p>
        </w:tc>
        <w:tc>
          <w:tcPr>
            <w:tcW w:type="dxa" w:w="864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Chicago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$54,635.36</w:t>
            </w:r>
          </w:p>
        </w:tc>
        <w:tc>
          <w:tcPr>
            <w:tcW w:type="dxa" w:w="864"/>
          </w:tcPr>
          <w:p>
            <w:r>
              <w:t>$2,731.77</w:t>
            </w:r>
          </w:p>
        </w:tc>
        <w:tc>
          <w:tcPr>
            <w:tcW w:type="dxa" w:w="864"/>
          </w:tcPr>
          <w:p>
            <w:r>
              <w:t>$57,367.13</w:t>
            </w:r>
          </w:p>
        </w:tc>
        <w:tc>
          <w:tcPr>
            <w:tcW w:type="dxa" w:w="864"/>
          </w:tcPr>
          <w:p>
            <w:r>
              <w:t>$46,905.10</w:t>
            </w:r>
          </w:p>
        </w:tc>
        <w:tc>
          <w:tcPr>
            <w:tcW w:type="dxa" w:w="864"/>
          </w:tcPr>
          <w:p>
            <w:r>
              <w:t>$10,462.03</w:t>
            </w:r>
          </w:p>
        </w:tc>
        <w:tc>
          <w:tcPr>
            <w:tcW w:type="dxa" w:w="864"/>
          </w:tcPr>
          <w:p>
            <w:r>
              <w:t>-$5,905.10</w:t>
            </w:r>
          </w:p>
        </w:tc>
        <w:tc>
          <w:tcPr>
            <w:tcW w:type="dxa" w:w="864"/>
          </w:tcPr>
          <w:p>
            <w:r>
              <w:t>$5,905.10</w:t>
            </w:r>
          </w:p>
        </w:tc>
        <w:tc>
          <w:tcPr>
            <w:tcW w:type="dxa" w:w="864"/>
          </w:tcPr>
          <w:p>
            <w:r>
              <w:t>No</w:t>
            </w:r>
          </w:p>
        </w:tc>
      </w:tr>
    </w:tbl>
    <w:p/>
    <w:p>
      <w:r>
        <w:t>FundingBridge interpretation: the transfer moves budget authority between FYs without changing total cost. For Phoenix N=24, transferring $1,427.56 from FY2026 to FY2025 raises FY2025 authority to $42,427.56 (matching its cost) and lowers FY2026 authority to $10,572.44 (still above its cost of $8,746.92). Total cost unchanged at $51,174.48.</w:t>
      </w:r>
    </w:p>
    <w:p>
      <w:pPr>
        <w:pStyle w:val="Heading1"/>
      </w:pPr>
      <w:r>
        <w:t>5. Selection</w:t>
      </w:r>
    </w:p>
    <w:p>
      <w:r>
        <w:t>Goal: maximize headcount first, then minimize total.</w:t>
      </w:r>
    </w:p>
    <w:p>
      <w:pPr>
        <w:pStyle w:val="ListBullet"/>
      </w:pPr>
      <w:r>
        <w:t>• Unconditional recommendation (no transfer approved): Phoenix, 18 attendees. Total $40,480.86. FY2025 $33,920.67; FY2026 $6,560.19. Both within caps. No transfer needed. Total margin $12,519.14.</w:t>
      </w:r>
    </w:p>
    <w:p>
      <w:pPr>
        <w:pStyle w:val="ListBullet"/>
      </w:pPr>
      <w:r>
        <w:t>• Conditional recommendation (if $1,427.56 FY26→FY25 transfer is approved): Phoenix, 24 attendees. Total $51,174.48. After transfer: FY2025 authority $42,427.56 (matches cost); FY2026 authority $10,572.44 (exceeds cost $8,746.92). Total margin $1,825.52.</w:t>
      </w:r>
    </w:p>
    <w:p>
      <w:pPr>
        <w:pStyle w:val="ListBullet"/>
      </w:pPr>
      <w:r>
        <w:t>• Denver 24 and Chicago 24 are infeasible under base scenario: required transfers ($4,303.05 and $5,905.10) exceed the $1,500 limit.</w:t>
      </w:r>
    </w:p>
    <w:p>
      <w:pPr>
        <w:pStyle w:val="Heading1"/>
      </w:pPr>
      <w:r>
        <w:t>6. Stress Scenario (Airfare +20%)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City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Base</w:t>
            </w:r>
          </w:p>
        </w:tc>
        <w:tc>
          <w:tcPr>
            <w:tcW w:type="dxa" w:w="864"/>
          </w:tcPr>
          <w:p>
            <w:r>
              <w:t>5% Reserve</w:t>
            </w:r>
          </w:p>
        </w:tc>
        <w:tc>
          <w:tcPr>
            <w:tcW w:type="dxa" w:w="864"/>
          </w:tcPr>
          <w:p>
            <w:r>
              <w:t>Total w/Reserve</w:t>
            </w:r>
          </w:p>
        </w:tc>
        <w:tc>
          <w:tcPr>
            <w:tcW w:type="dxa" w:w="864"/>
          </w:tcPr>
          <w:p>
            <w:r>
              <w:t>FY25 w/5%</w:t>
            </w:r>
          </w:p>
        </w:tc>
        <w:tc>
          <w:tcPr>
            <w:tcW w:type="dxa" w:w="864"/>
          </w:tcPr>
          <w:p>
            <w:r>
              <w:t>FY26 w/5%</w:t>
            </w:r>
          </w:p>
        </w:tc>
        <w:tc>
          <w:tcPr>
            <w:tcW w:type="dxa" w:w="864"/>
          </w:tcPr>
          <w:p>
            <w:r>
              <w:t>Orig FY25 Margin</w:t>
            </w:r>
          </w:p>
        </w:tc>
        <w:tc>
          <w:tcPr>
            <w:tcW w:type="dxa" w:w="864"/>
          </w:tcPr>
          <w:p>
            <w:r>
              <w:t>Min Transfer</w:t>
            </w:r>
          </w:p>
        </w:tc>
        <w:tc>
          <w:tcPr>
            <w:tcW w:type="dxa" w:w="864"/>
          </w:tcPr>
          <w:p>
            <w:r>
              <w:t>Feasible</w:t>
            </w:r>
          </w:p>
        </w:tc>
      </w:tr>
      <w:tr>
        <w:tc>
          <w:tcPr>
            <w:tcW w:type="dxa" w:w="864"/>
          </w:tcPr>
          <w:p>
            <w:r>
              <w:t>Phoenix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$40,389.20</w:t>
            </w:r>
          </w:p>
        </w:tc>
        <w:tc>
          <w:tcPr>
            <w:tcW w:type="dxa" w:w="864"/>
          </w:tcPr>
          <w:p>
            <w:r>
              <w:t>$2,019.46</w:t>
            </w:r>
          </w:p>
        </w:tc>
        <w:tc>
          <w:tcPr>
            <w:tcW w:type="dxa" w:w="864"/>
          </w:tcPr>
          <w:p>
            <w:r>
              <w:t>$42,408.66</w:t>
            </w:r>
          </w:p>
        </w:tc>
        <w:tc>
          <w:tcPr>
            <w:tcW w:type="dxa" w:w="864"/>
          </w:tcPr>
          <w:p>
            <w:r>
              <w:t>$35,848.47</w:t>
            </w:r>
          </w:p>
        </w:tc>
        <w:tc>
          <w:tcPr>
            <w:tcW w:type="dxa" w:w="864"/>
          </w:tcPr>
          <w:p>
            <w:r>
              <w:t>$6,560.19</w:t>
            </w:r>
          </w:p>
        </w:tc>
        <w:tc>
          <w:tcPr>
            <w:tcW w:type="dxa" w:w="864"/>
          </w:tcPr>
          <w:p>
            <w:r>
              <w:t>$5,151.53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Denver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$43,409.76</w:t>
            </w:r>
          </w:p>
        </w:tc>
        <w:tc>
          <w:tcPr>
            <w:tcW w:type="dxa" w:w="864"/>
          </w:tcPr>
          <w:p>
            <w:r>
              <w:t>$2,170.49</w:t>
            </w:r>
          </w:p>
        </w:tc>
        <w:tc>
          <w:tcPr>
            <w:tcW w:type="dxa" w:w="864"/>
          </w:tcPr>
          <w:p>
            <w:r>
              <w:t>$45,580.25</w:t>
            </w:r>
          </w:p>
        </w:tc>
        <w:tc>
          <w:tcPr>
            <w:tcW w:type="dxa" w:w="864"/>
          </w:tcPr>
          <w:p>
            <w:r>
              <w:t>$38,018.74</w:t>
            </w:r>
          </w:p>
        </w:tc>
        <w:tc>
          <w:tcPr>
            <w:tcW w:type="dxa" w:w="864"/>
          </w:tcPr>
          <w:p>
            <w:r>
              <w:t>$7,561.51</w:t>
            </w:r>
          </w:p>
        </w:tc>
        <w:tc>
          <w:tcPr>
            <w:tcW w:type="dxa" w:w="864"/>
          </w:tcPr>
          <w:p>
            <w:r>
              <w:t>$2,981.26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Chicago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$44,827.52</w:t>
            </w:r>
          </w:p>
        </w:tc>
        <w:tc>
          <w:tcPr>
            <w:tcW w:type="dxa" w:w="864"/>
          </w:tcPr>
          <w:p>
            <w:r>
              <w:t>$2,241.38</w:t>
            </w:r>
          </w:p>
        </w:tc>
        <w:tc>
          <w:tcPr>
            <w:tcW w:type="dxa" w:w="864"/>
          </w:tcPr>
          <w:p>
            <w:r>
              <w:t>$47,068.90</w:t>
            </w:r>
          </w:p>
        </w:tc>
        <w:tc>
          <w:tcPr>
            <w:tcW w:type="dxa" w:w="864"/>
          </w:tcPr>
          <w:p>
            <w:r>
              <w:t>$39,222.37</w:t>
            </w:r>
          </w:p>
        </w:tc>
        <w:tc>
          <w:tcPr>
            <w:tcW w:type="dxa" w:w="864"/>
          </w:tcPr>
          <w:p>
            <w:r>
              <w:t>$7,846.52</w:t>
            </w:r>
          </w:p>
        </w:tc>
        <w:tc>
          <w:tcPr>
            <w:tcW w:type="dxa" w:w="864"/>
          </w:tcPr>
          <w:p>
            <w:r>
              <w:t>$1,777.63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Yes</w:t>
            </w:r>
          </w:p>
        </w:tc>
      </w:tr>
      <w:tr>
        <w:tc>
          <w:tcPr>
            <w:tcW w:type="dxa" w:w="864"/>
          </w:tcPr>
          <w:p>
            <w:r>
              <w:t>Phoenix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$51,185.60</w:t>
            </w:r>
          </w:p>
        </w:tc>
        <w:tc>
          <w:tcPr>
            <w:tcW w:type="dxa" w:w="864"/>
          </w:tcPr>
          <w:p>
            <w:r>
              <w:t>$2,559.28</w:t>
            </w:r>
          </w:p>
        </w:tc>
        <w:tc>
          <w:tcPr>
            <w:tcW w:type="dxa" w:w="864"/>
          </w:tcPr>
          <w:p>
            <w:r>
              <w:t>$53,744.88</w:t>
            </w:r>
          </w:p>
        </w:tc>
        <w:tc>
          <w:tcPr>
            <w:tcW w:type="dxa" w:w="864"/>
          </w:tcPr>
          <w:p>
            <w:r>
              <w:t>$44,997.96</w:t>
            </w:r>
          </w:p>
        </w:tc>
        <w:tc>
          <w:tcPr>
            <w:tcW w:type="dxa" w:w="864"/>
          </w:tcPr>
          <w:p>
            <w:r>
              <w:t>$8,746.92</w:t>
            </w:r>
          </w:p>
        </w:tc>
        <w:tc>
          <w:tcPr>
            <w:tcW w:type="dxa" w:w="864"/>
          </w:tcPr>
          <w:p>
            <w:r>
              <w:t>-$3,997.96</w:t>
            </w:r>
          </w:p>
        </w:tc>
        <w:tc>
          <w:tcPr>
            <w:tcW w:type="dxa" w:w="864"/>
          </w:tcPr>
          <w:p>
            <w:r>
              <w:t>$3,997.96</w:t>
            </w:r>
          </w:p>
        </w:tc>
        <w:tc>
          <w:tcPr>
            <w:tcW w:type="dxa" w:w="864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Denver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$54,379.68</w:t>
            </w:r>
          </w:p>
        </w:tc>
        <w:tc>
          <w:tcPr>
            <w:tcW w:type="dxa" w:w="864"/>
          </w:tcPr>
          <w:p>
            <w:r>
              <w:t>$2,718.98</w:t>
            </w:r>
          </w:p>
        </w:tc>
        <w:tc>
          <w:tcPr>
            <w:tcW w:type="dxa" w:w="864"/>
          </w:tcPr>
          <w:p>
            <w:r>
              <w:t>$57,098.66</w:t>
            </w:r>
          </w:p>
        </w:tc>
        <w:tc>
          <w:tcPr>
            <w:tcW w:type="dxa" w:w="864"/>
          </w:tcPr>
          <w:p>
            <w:r>
              <w:t>$47,016.65</w:t>
            </w:r>
          </w:p>
        </w:tc>
        <w:tc>
          <w:tcPr>
            <w:tcW w:type="dxa" w:w="864"/>
          </w:tcPr>
          <w:p>
            <w:r>
              <w:t>$10,082.02</w:t>
            </w:r>
          </w:p>
        </w:tc>
        <w:tc>
          <w:tcPr>
            <w:tcW w:type="dxa" w:w="864"/>
          </w:tcPr>
          <w:p>
            <w:r>
              <w:t>-$6,016.65</w:t>
            </w:r>
          </w:p>
        </w:tc>
        <w:tc>
          <w:tcPr>
            <w:tcW w:type="dxa" w:w="864"/>
          </w:tcPr>
          <w:p>
            <w:r>
              <w:t>$6,016.65</w:t>
            </w:r>
          </w:p>
        </w:tc>
        <w:tc>
          <w:tcPr>
            <w:tcW w:type="dxa" w:w="864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Chicago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$56,603.36</w:t>
            </w:r>
          </w:p>
        </w:tc>
        <w:tc>
          <w:tcPr>
            <w:tcW w:type="dxa" w:w="864"/>
          </w:tcPr>
          <w:p>
            <w:r>
              <w:t>$2,830.17</w:t>
            </w:r>
          </w:p>
        </w:tc>
        <w:tc>
          <w:tcPr>
            <w:tcW w:type="dxa" w:w="864"/>
          </w:tcPr>
          <w:p>
            <w:r>
              <w:t>$59,433.53</w:t>
            </w:r>
          </w:p>
        </w:tc>
        <w:tc>
          <w:tcPr>
            <w:tcW w:type="dxa" w:w="864"/>
          </w:tcPr>
          <w:p>
            <w:r>
              <w:t>$48,971.50</w:t>
            </w:r>
          </w:p>
        </w:tc>
        <w:tc>
          <w:tcPr>
            <w:tcW w:type="dxa" w:w="864"/>
          </w:tcPr>
          <w:p>
            <w:r>
              <w:t>$10,462.03</w:t>
            </w:r>
          </w:p>
        </w:tc>
        <w:tc>
          <w:tcPr>
            <w:tcW w:type="dxa" w:w="864"/>
          </w:tcPr>
          <w:p>
            <w:r>
              <w:t>-$7,971.50</w:t>
            </w:r>
          </w:p>
        </w:tc>
        <w:tc>
          <w:tcPr>
            <w:tcW w:type="dxa" w:w="864"/>
          </w:tcPr>
          <w:p>
            <w:r>
              <w:t>$7,971.50</w:t>
            </w:r>
          </w:p>
        </w:tc>
        <w:tc>
          <w:tcPr>
            <w:tcW w:type="dxa" w:w="864"/>
          </w:tcPr>
          <w:p>
            <w:r>
              <w:t>No</w:t>
            </w:r>
          </w:p>
        </w:tc>
      </w:tr>
    </w:tbl>
    <w:p/>
    <w:p>
      <w:r>
        <w:t>Under stress, Phoenix 18 remains feasible ($42,408.66, no transfer). Phoenix 24 becomes infeasible (requires $3,997.96 transfer, exceeds $1,500 limit). All 24-person options fail stress.</w:t>
      </w:r>
    </w:p>
    <w:p>
      <w:r>
        <w:t>Execution measures if stress materializes:</w:t>
      </w:r>
    </w:p>
    <w:p>
      <w:pPr>
        <w:pStyle w:val="ListBullet"/>
      </w:pPr>
      <w:r>
        <w:t xml:space="preserve">  (a) Lock airfare via early booking or city-pair contract before price increase.</w:t>
      </w:r>
    </w:p>
    <w:p>
      <w:pPr>
        <w:pStyle w:val="ListBullet"/>
      </w:pPr>
      <w:r>
        <w:t xml:space="preserve">  (b) If airfare rises, cap attendance at 18 regardless of city.</w:t>
      </w:r>
    </w:p>
    <w:p>
      <w:pPr>
        <w:pStyle w:val="ListBullet"/>
      </w:pPr>
      <w:r>
        <w:t xml:space="preserve">  (c) Seek separate FY2025 augmentation approval (outside the $1,500 internal transfer) if 24 attendees remain essential.</w:t>
      </w:r>
    </w:p>
    <w:p>
      <w:pPr>
        <w:pStyle w:val="ListBullet"/>
      </w:pPr>
      <w:r>
        <w:t xml:space="preserve">  (d) Re-run comparison with actual airfare; Phoenix remains lowest-cost under stress among 18-person options.</w:t>
      </w:r>
    </w:p>
    <w:p>
      <w:pPr>
        <w:pStyle w:val="Heading1"/>
      </w:pPr>
      <w:r>
        <w:t>7. DecisionAudit — Unreviewed Internal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Judgment / Evidence / Impact</w:t>
            </w:r>
          </w:p>
        </w:tc>
        <w:tc>
          <w:tcPr>
            <w:tcW w:type="dxa" w:w="2160"/>
          </w:tcPr>
          <w:p>
            <w:r>
              <w:t>Corrective Action</w:t>
            </w:r>
          </w:p>
        </w:tc>
      </w:tr>
      <w:tr>
        <w:tc>
          <w:tcPr>
            <w:tcW w:type="dxa" w:w="2160"/>
          </w:tcPr>
          <w:p>
            <w:r>
              <w:t>GO-D1</w:t>
            </w:r>
          </w:p>
        </w:tc>
        <w:tc>
          <w:tcPr>
            <w:tcW w:type="dxa" w:w="2160"/>
          </w:tcPr>
          <w:p>
            <w:r>
              <w:t>"只要总额不超过53000，就可以直接用FY2026余额填补FY2025缺口，无需另外批准。"</w:t>
            </w:r>
          </w:p>
        </w:tc>
        <w:tc>
          <w:tcPr>
            <w:tcW w:type="dxa" w:w="2160"/>
          </w:tcPr>
          <w:p>
            <w:r>
              <w:t>Judgment: FALSE. decision_constraints.json sets a $1,500 transfer limit and marks the transfer as unapproved. Total-cap compliance alone does not authorize the transfer; both the dollar limit and separate approval are required. Evidence: Phoenix N=24 total is $51,174.48 (&lt; $53,000) but still requires $1,427.56 transfer authorization. Impact: Phoenix N=24 cannot be approved on total-cap grounds alone.</w:t>
            </w:r>
          </w:p>
        </w:tc>
        <w:tc>
          <w:tcPr>
            <w:tcW w:type="dxa" w:w="2160"/>
          </w:tcPr>
          <w:p>
            <w:r>
              <w:t>Condition Phoenix N=24 approval on written FY26→FY25 transfer authorization. Do not treat total-cap compliance as substitute.</w:t>
            </w:r>
          </w:p>
        </w:tc>
      </w:tr>
      <w:tr>
        <w:tc>
          <w:tcPr>
            <w:tcW w:type="dxa" w:w="2160"/>
          </w:tcPr>
          <w:p>
            <w:r>
              <w:t>GO-D2</w:t>
            </w:r>
          </w:p>
        </w:tc>
        <w:tc>
          <w:tcPr>
            <w:tcW w:type="dxa" w:w="2160"/>
          </w:tcPr>
          <w:p>
            <w:r>
              <w:t>"机票上涨20%只影响基础费用，应急储备可以保持原金额。"</w:t>
            </w:r>
          </w:p>
        </w:tc>
        <w:tc>
          <w:tcPr>
            <w:tcW w:type="dxa" w:w="2160"/>
          </w:tcPr>
          <w:p>
            <w:r>
              <w:t>Judgment: FALSE. Reserve is 5% of base subtotal; when base rises, reserve rises in dollars. Holding reserve fixed understates true cost. Evidence: Phoenix N=24 base rises from $48,737.60 to $51,185.60 under stress; reserve must rise from $2,436.88 to $2,559.28. Impact: stress totals in this brief recompute 5% on the increased base (Phoenix N=24 stress total = $53,744.88, not $51,174.48 + original reserve).</w:t>
            </w:r>
          </w:p>
        </w:tc>
        <w:tc>
          <w:tcPr>
            <w:tcW w:type="dxa" w:w="2160"/>
          </w:tcPr>
          <w:p>
            <w:r>
              <w:t>Always recompute reserve on revised base. Do not carry forward a frozen reserve amount when underlying costs change.</w:t>
            </w:r>
          </w:p>
        </w:tc>
      </w:tr>
    </w:tbl>
    <w:p>
      <w:pPr>
        <w:pStyle w:val="Heading1"/>
      </w:pPr>
      <w:r>
        <w:t>8. Approval Conditions</w:t>
      </w:r>
    </w:p>
    <w:p>
      <w:r>
        <w:t>• Phoenix N=18: approve as submitted. No transfer required. Total $40,480.86 within $53,000 cap; FY2025 $33,920.67 within $41,000 cap; FY2026 $6,560.19 within $12,000 cap.</w:t>
      </w:r>
    </w:p>
    <w:p>
      <w:r>
        <w:t>• Phoenix N=24: approve only if (a) FY26→FY2025 transfer of $1,427.56 is separately authorized in writing, and (b) airfare is locked at current rate (stress scenario makes this option infeasible).</w:t>
      </w:r>
    </w:p>
    <w:p>
      <w:r>
        <w:t>• All options are conditional on: hotel FEMA/fire-safety verification (301-74.9), venue procurement compliance, and confirmed FY fund balances.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