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PRIVILEGED &amp; CONFIDENTIAL — ATTORNEY WORK PRODUCT</w:t>
      </w:r>
    </w:p>
    <w:p>
      <w:pPr>
        <w:pStyle w:val="Heading1"/>
      </w:pPr>
      <w:r>
        <w:t>LEGAL ACTION MEMORANDUM</w:t>
      </w:r>
    </w:p>
    <w:p>
      <w:r>
        <w:t>TO: Operations Lead, Harbor Education Finance LLC</w:t>
      </w:r>
    </w:p>
    <w:p>
      <w:r>
        <w:t>FROM: External Compliance Counsel</w:t>
      </w:r>
    </w:p>
    <w:p>
      <w:r>
        <w:t>DATE: 2025-03-07 (baseline date for this exercise)</w:t>
      </w:r>
    </w:p>
    <w:p>
      <w:r>
        <w:t>RE: Data Security Incident — FTC Safeguards Rule Notification Obligations and Remediation Priorities</w:t>
      </w:r>
    </w:p>
    <w:p>
      <w:r>
        <w:t>ASSUMPTION: All facts, entities, persons, and dates in this memo are hypothetical for this exercise only.</w:t>
      </w:r>
    </w:p>
    <w:p/>
    <w:p>
      <w:r>
        <w:rPr>
          <w:b/>
        </w:rPr>
        <w:t>EXECUTIVE SUMMARY</w:t>
      </w:r>
    </w:p>
    <w:p>
      <w:r>
        <w:t>On 2025-03-03 at 09:00, a non-involved employee (Alex) confirmed that an attacker accessed and downloaded an encrypted export file containing 550 distinct consumers' customer information during 2025-03-01 to 2025-03-02, and that the decryption key was also obtained. No reliable evidence negates unauthorized acquisition. This constitutes a "notification event" under 16 CFR 314.2(m) because the encryption key was accessed by an unauthorized person, rendering the information "unencrypted" for notification purposes. Because 550 ≥ 500 consumers, FTC notification is mandatory under 16 CFR 314.4(j)(1). The 30-day deadline runs from discovery (2025-03-03), making the latest filing date 2025-04-02. The "as soon as possible" obligation means you should not wait until the deadline. A draft notice is being prepared separately. The police oral request on 2025-03-07 has no legal effect on the FTC filing deadline because §314.4(j)(1)(vi) requires a written determination.</w:t>
      </w:r>
    </w:p>
    <w:p/>
    <w:p>
      <w:r>
        <w:rPr>
          <w:b/>
        </w:rPr>
        <w:t>I. APPLICABLE RULE VERSION AND EFFECTIVE DATE</w:t>
      </w:r>
    </w:p>
    <w:p>
      <w:r>
        <w:t>The controlling authority for this exercise is the frozen XML text of 16 CFR Part 314 as of 2025-01-01 (file: eCFR_16_CFR_314_2025-01-01.xml). This reflects the December 9, 2021 amendments (86 FR 70304) and the November 13, 2023 notification amendments (88 FR 77508). The notification requirement in §314.4(j) became effective May 13, 2024 per §314.5. The 2021 old XML (eCFR_16_CFR_314_2021-12-01.xml) is used only for historical comparison and does not represent current law. The FTC Safeguards Guide (ftc_safeguards_guide.html) links to eCFR sections (https://www.ecfr.gov/current/title-16/chapter-I/subchapter-C/part-314 and section-specific anchors for 314.2, 314.4, 314.6) but where the guide differs from the frozen XML, the frozen XML controls for this exercise.</w:t>
      </w:r>
    </w:p>
    <w:p/>
    <w:p>
      <w:r>
        <w:rPr>
          <w:b/>
        </w:rPr>
        <w:t>II. SIZE-BASED EXCEPTION UNDER §314.6 — WHAT IS AND IS NOT EXEMPT</w:t>
      </w:r>
    </w:p>
    <w:p>
      <w:r>
        <w:t>Harbor maintains customer information concerning 4800 consumers, which is fewer than 5000. Section 314.6 therefore exempts the following specific provisions: §314.4(b)(1) (detailed written risk assessment criteria), §314.4(d)(2) (continuous monitoring / periodic penetration testing / vulnerability assessments), §314.4(h) (written incident response plan), and §314.4(i) (annual board report). CRITICAL: This is NOT a blanket exemption from the entire security program. The following remain fully mandatory: §314.4(a) (Qualified Individual designation), §314.4(b) baseline risk assessment (only the detailed (b)(1) sub-criteria are exempt), §314.4(c) (safeguard design including encryption, MFA, access controls, data disposal, change management, user activity monitoring), §314.4(d)(1) (general testing/monitoring of key controls), §314.4(e) (personnel training), §314.4(f) (service provider oversight), §314.4(g) (program evaluation), and §314.4(j) (FTC notification). The gap register (safeguards_gap_register.xlsx, Obligations sheet) itemizes each control deficiency and its applicability.</w:t>
      </w:r>
    </w:p>
    <w:p/>
    <w:p>
      <w:r>
        <w:rPr>
          <w:b/>
        </w:rPr>
        <w:t>III. NOTIFICATION EVENT ANALYSIS — BASELINE CASE (4800/550)</w:t>
      </w:r>
    </w:p>
    <w:p>
      <w:r>
        <w:t>Under §314.2(m), a "notification event" means acquisition of unencrypted customer information without authorization. Customer information is considered unencrypted if the encryption key was accessed by an unauthorized person. Here, the attacker obtained both the encrypted export and the decryption key, so the information is treated as unencrypted. There is no reliable evidence negating unauthorized acquisition, so the presumption of acquisition applies. The 550 distinct consumers are all within the 4800 maintained. Because 550 ≥ 500, §314.4(j)(1) requires FTC notification.</w:t>
      </w:r>
    </w:p>
    <w:p/>
    <w:p>
      <w:r>
        <w:rPr>
          <w:b/>
        </w:rPr>
        <w:t>IV. DISCOVERY DATE AND 30-DAY DEADLINE</w:t>
      </w:r>
    </w:p>
    <w:p>
      <w:r>
        <w:t>Section 314.4(j)(2) provides that a notification event is treated as discovered on the first day it is known to any employee, officer, or agent other than the person committing the breach. Here, non-involved employee Alex confirmed the facts on 2025-03-03 at 09:00. This is the discovery date. The 30-day deadline runs from 2025-03-03, making the latest filing date 2025-04-02. The rule also requires notification "as soon as possible," so you should file well before the deadline. Management's 2025-03-06 review and external counsel's 2025-03-07 engagement do not reset the clock.</w:t>
      </w:r>
    </w:p>
    <w:p/>
    <w:p>
      <w:r>
        <w:rPr>
          <w:b/>
        </w:rPr>
        <w:t>V. LAW ENFORCEMENT ORAL REQUEST — NO LEGAL EFFECT ON FTC FILING</w:t>
      </w:r>
    </w:p>
    <w:p>
      <w:r>
        <w:t>On 2025-03-07, police orally requested that you not publicly disclose the incident. Section 314.4(j)(1)(vi) requires a WRITTEN determination from a law enforcement official that notifying the public would impede a criminal investigation or cause damage to national security. An oral request does not satisfy this requirement. The oral request does NOT: (1) delay your obligation to file the FTC notice by 2025-04-02; (2) prevent you from filing; or (3) constitute a "written determination" under the rule. You should file the FTC notice on time. In the notice, you may indicate that no written law enforcement determination has been received. If police later provide a written determination, you can notify FTC and request a delay of public disclosure (up to 30 days initial, 60 days extension if LE seeks it in writing), but this does NOT delay the initial FTC filing.</w:t>
      </w:r>
    </w:p>
    <w:p/>
    <w:p>
      <w:r>
        <w:rPr>
          <w:b/>
        </w:rPr>
        <w:t>VI. COUNTERFACTUAL C ANALYSIS (per decision_constraints.json)</w:t>
      </w:r>
    </w:p>
    <w:p>
      <w:r>
        <w:t>The decision_constraints.json specifies three export files: Export A (consumer id 1-320, encrypted, key obtained by attacker), Export B (id 201-505, plaintext), Export C (id 401-600, encrypted, key NOT obtained, reliable evidence that plaintext was not obtained for consumers appearing only in C). All facts were known on 2025-03-03 at 09:00. The notification event includes only A and B, not C. Export A is treated as unencrypted because the key was obtained (§314.2(m)). Export B is plaintext. Export C is excluded because effective encryption + key not compromised + reliable evidence no plaintext obtained. The union A∪B = consumer id 1-505 = 505 distinct consumers. This is the notification event count for counterfactual C. Because 505 ≥ 500, FTC notification is required. Discovery date is still 2025-03-03, deadline 2025-04-02. The ExposureLedger sheet in the gap register details record counts vs. distinct consumers vs. notification event consumers.</w:t>
      </w:r>
    </w:p>
    <w:p/>
    <w:p>
      <w:r>
        <w:rPr>
          <w:b/>
        </w:rPr>
        <w:t>VII. REVIEW OF UNREVIEWED INTERNAL CLAIMS (LAW-D1, LAW-D2)</w:t>
      </w:r>
    </w:p>
    <w:p>
      <w:r>
        <w:t>LAW-D1: "Summing the record counts of the three export files gives the notification event distinct consumer count." REJECTED. Record counts (A=320, B=305, C=200, total=825) are not the same as distinct consumers. Exports overlap (id 201-320 appear in both A and B; id 401-505 appear in both B and C; id 401-600 in C). The correct method is to take the union of distinct consumer IDs, then exclude C per §314.2(m). Result: 505 distinct consumers in A∪B, not 825 or 600.</w:t>
      </w:r>
    </w:p>
    <w:p>
      <w:r>
        <w:t>LAW-D2: "Because maintained consumers &lt;5000, even if affected consumers ≥500, no FTC report is required." REJECTED. Section 314.6 exempts only §314.4(b)(1), (d)(2), (h), (i). It does NOT exempt §314.4(j) notification. The 500-consumer threshold in §314.4(j)(1) looks at the notification event consumer count, not the total maintained. If the notification event involves ≥500 consumers, you must notify FTC regardless of whether you maintain &lt;5000 total consumers.</w:t>
      </w:r>
    </w:p>
    <w:p/>
    <w:p>
      <w:r>
        <w:rPr>
          <w:b/>
        </w:rPr>
        <w:t>VIII. COUNTERFACTUAL C — MISSING-EVIDENCE BRANCH (A key status unverified)</w:t>
      </w:r>
    </w:p>
    <w:p>
      <w:r>
        <w:t>If the status of whether the attacker obtained Export A's encryption key cannot be verified, the notification event consumer count has a confirmable lower bound and upper bound. Lower bound: 305 consumers (Export B plaintext, always included; Export C excluded per reliable evidence). Upper bound: 505 consumers (if A key confirmed obtained, then A∪B = 505). Evidence that would change the conclusion: (1) forensic confirmation that A key was NOT accessed → only 305 consumers &lt; 500 → no FTC notification required; (2) forensic confirmation that A key WAS accessed → 505 consumers ≥ 500 → FTC notification required. Escalation actions: (1) immediately engage forensic expert to verify A key status; (2) if unverifiable within 7 days, prepare notice for 505 consumers as a precaution; (3) preserve written evidence chain documenting the verification effort; (4) do not finalize notice until key status is resolved or the deadline forces a precautionary filing. This missing-evidence analysis does NOT alter the given baseline counterfactual C facts (which assume A key was obtained).</w:t>
      </w:r>
    </w:p>
    <w:p/>
    <w:p>
      <w:r>
        <w:rPr>
          <w:b/>
        </w:rPr>
        <w:t>IX. SENSITIVITY ANALYSES</w:t>
      </w:r>
    </w:p>
    <w:p>
      <w:r>
        <w:t>Sensitivity 1: If Harbor maintained 5000 consumers (instead of 4800) but the event still involved 550 consumers. Section 314.6 exception does NOT apply because the threshold is "fewer than five thousand." All §314.4 obligations apply, including (b)(1), (d)(2), (h), (i). FTC notification still required (550 ≥ 500). This shows the exception is size-based, not event-based.</w:t>
      </w:r>
    </w:p>
    <w:p>
      <w:r>
        <w:t>Sensitivity 2: If Harbor maintained 4800 consumers but the event involved 499 consumers (other facts identical). Section 314.6 exception still applies (&lt;5000). FTC notification NOT required because 499 &lt; 500 threshold. However, all other §314.4 obligations (except exempted provisions) still apply. The security event still occurred. Incident response still required under general duties. State breach notification laws may still apply (separate analysis needed, not addressed here).</w:t>
      </w:r>
    </w:p>
    <w:p/>
    <w:p>
      <w:r>
        <w:rPr>
          <w:b/>
        </w:rPr>
        <w:t>X. ACTION PRIORITIES — TODAY, 7 DAYS, 30 DAYS</w:t>
      </w:r>
    </w:p>
    <w:p>
      <w:r>
        <w:t>TODAY (2025-03-07):</w:t>
      </w:r>
    </w:p>
    <w:p>
      <w:pPr>
        <w:pStyle w:val="ListNumber"/>
      </w:pPr>
      <w:r>
        <w:t>1. Designate Qualified Individual (written memo; if using service provider, designate senior overseer and require equivalent ISP). Role: CEO/Board + Dana Lee.</w:t>
      </w:r>
    </w:p>
    <w:p>
      <w:pPr>
        <w:pStyle w:val="ListNumber"/>
      </w:pPr>
      <w:r>
        <w:t>2. Preserve all evidence related to the incident (logs, export files, key management records, communications with police). Role: IT + Legal.</w:t>
      </w:r>
    </w:p>
    <w:p>
      <w:pPr>
        <w:pStyle w:val="ListNumber"/>
      </w:pPr>
      <w:r>
        <w:t>3. Request written law enforcement determination if police want to delay public disclosure (this does NOT delay FTC filing). Role: Dana Lee + Legal.</w:t>
      </w:r>
    </w:p>
    <w:p>
      <w:pPr>
        <w:pStyle w:val="ListNumber"/>
      </w:pPr>
      <w:r>
        <w:t>4. Begin drafting FTC notification (separate draft being prepared). Role: Dana Lee + external counsel.</w:t>
      </w:r>
    </w:p>
    <w:p>
      <w:r>
        <w:t>WITHIN 7 DAYS (by 2025-03-14):</w:t>
      </w:r>
    </w:p>
    <w:p>
      <w:pPr>
        <w:pStyle w:val="ListNumber"/>
      </w:pPr>
      <w:r>
        <w:t>1. Complete forensic investigation to confirm scope (550 consumers, no others affected). Role: external investigators.</w:t>
      </w:r>
    </w:p>
    <w:p>
      <w:pPr>
        <w:pStyle w:val="ListNumber"/>
      </w:pPr>
      <w:r>
        <w:t>2. Brief senior officer on incident and compliance obligations (even though §314.4(i) board report exempt, accountability still required). Role: Dana Lee + Qualified Individual.</w:t>
      </w:r>
    </w:p>
    <w:p>
      <w:pPr>
        <w:pStyle w:val="ListNumber"/>
      </w:pPr>
      <w:r>
        <w:t>3. Implement immediate containment measures (revoke compromised credentials, rotate encryption keys, restrict access to customer information). Role: IT/Security.</w:t>
      </w:r>
    </w:p>
    <w:p>
      <w:pPr>
        <w:pStyle w:val="ListNumber"/>
      </w:pPr>
      <w:r>
        <w:t>4. Review cloud services contract and begin renegotiation to add security obligations. Role: Legal + Procurement.</w:t>
      </w:r>
    </w:p>
    <w:p>
      <w:r>
        <w:t>WITHIN 30 DAYS (by 2025-04-06, but FTC notice due 2025-04-02):</w:t>
      </w:r>
    </w:p>
    <w:p>
      <w:pPr>
        <w:pStyle w:val="ListNumber"/>
      </w:pPr>
      <w:r>
        <w:t>1. Submit FTC notification electronically by 2025-04-02 (30 days from discovery). Do NOT wait until deadline — file as soon as possible. Role: Dana Lee.</w:t>
      </w:r>
    </w:p>
    <w:p>
      <w:pPr>
        <w:pStyle w:val="ListNumber"/>
      </w:pPr>
      <w:r>
        <w:t>2. Complete written risk assessment (baseline under §314.4(b); detailed (b)(1) criteria are voluntary best practice for this size). Role: Qualified Individual.</w:t>
      </w:r>
    </w:p>
    <w:p>
      <w:pPr>
        <w:pStyle w:val="ListNumber"/>
      </w:pPr>
      <w:r>
        <w:t>3. Deploy MFA for all information system access. Role: IT/Security + Qualified Individual.</w:t>
      </w:r>
    </w:p>
    <w:p>
      <w:pPr>
        <w:pStyle w:val="ListNumber"/>
      </w:pPr>
      <w:r>
        <w:t>4. Implement ongoing security awareness training program. Role: Qualified Individual + HR.</w:t>
      </w:r>
    </w:p>
    <w:p>
      <w:pPr>
        <w:pStyle w:val="ListNumber"/>
      </w:pPr>
      <w:r>
        <w:t>5. Amend cloud services contract to include security obligations. Role: Legal + Procurement.</w:t>
      </w:r>
    </w:p>
    <w:p/>
    <w:p>
      <w:r>
        <w:rPr>
          <w:b/>
        </w:rPr>
        <w:t>XI. SCOPE OF THIS ANALYSIS — MATTERS REQUIRING SEPARATE REVIEW</w:t>
      </w:r>
    </w:p>
    <w:p>
      <w:r>
        <w:t>This memo addresses only FTC Safeguards Rule obligations under 16 CFR Part 314. The following require separate analysis (not addressed here): (1) state breach notification laws (may impose consumer notice obligations, different deadlines, different thresholds); (2) other federal or state regulatory obligations (e.g., GLBA privacy notice, FCRA if consumer reports involved); (3) contractual notification obligations (e.g., to partners, insurers); (4) potential FTC enforcement action (notification does not preclude enforcement); (5) civil litigation risk; (6) reputational response and customer communications strategy. These should be addressed in follow-up memoranda.</w:t>
      </w:r>
    </w:p>
    <w:p/>
    <w:p>
      <w:r>
        <w:t>--- END OF MEMO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