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季度信用复核及名额分配</w:t>
      </w:r>
    </w:p>
    <w:p>
      <w:r>
        <w:t>区域资产代理率从0.2986%变为0.3682%（+0.0696个百分点）。八个核查名额按三州覆盖约束分配，不能将该排序作为银行评级。</w:t>
      </w:r>
    </w:p>
    <w:p>
      <w:pPr>
        <w:pStyle w:val="Heading1"/>
      </w:pPr>
      <w:r>
        <w:t>范围及口径</w:t>
      </w:r>
    </w:p>
    <w:p>
      <w:r>
        <w:t>金融CSV共746行、54家银行、14个季度。CERT+季度无重复；机构资料355行；机构连接未匹配0行、歧义0行。机构日期为更晚快照，不使用ACTIVE筛除历史。逐家缺失季度和资料日期见DataAudit。</w:t>
      </w:r>
    </w:p>
    <w:p>
      <w:r>
        <w:t>FDIC文档页明确引用risview_properties.yaml和institution_properties.yaml，字段核对后再计算。金额按题设千美元；ROA已经年化且以百分数表示。代理率为(P9ASSET+NAASSET)/ASSET，房地产占比以LNLSGR为分母。</w:t>
      </w:r>
    </w:p>
    <w:p>
      <w:pPr>
        <w:pStyle w:val="Heading1"/>
      </w:pPr>
      <w:r>
        <w:t>观察变化与固定权重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当期%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观察变化pp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固定权重变化pp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范围/权重差pp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0.29857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0.36819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0.06963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0.06303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0.36738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0.10318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0.09749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0.00569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0.36509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0.30595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-0.05914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-0.07282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0.01368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VT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0.49473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-0.00069</w:t>
            </w:r>
          </w:p>
        </w:tc>
      </w:tr>
    </w:tbl>
    <w:p>
      <w:pPr>
        <w:pStyle w:val="Heading1"/>
      </w:pPr>
      <w:r>
        <w:t>如何解释变化</w:t>
      </w:r>
    </w:p>
    <w:p>
      <w:r>
        <w:t>共同银行以2024-06-30资产固定加权，区域变化+0.0630个百分点；与观察变化的差+0.0066个百分点同时含范围和权重变化，不能说纯为银行恶化或单一成因。州固定集合按最新州别，进入/退出CERT及金额见EndpointBridge。</w:t>
      </w:r>
    </w:p>
    <w:p>
      <w:pPr>
        <w:pStyle w:val="Heading1"/>
      </w:pPr>
      <w:r>
        <w:t>八家核查分配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530"/>
        <w:gridCol w:w="1555"/>
        <w:gridCol w:w="1555"/>
      </w:tblGrid>
      <w:tr>
        <w:trPr>
          <w:cantSplit/>
          <w:tblHeader/>
        </w:trPr>
        <w:tc>
          <w:tcPr>
            <w:tcW w:type="dxa" w:w="5530"/>
          </w:tcPr>
          <w:p>
            <w:r>
              <w:rPr>
                <w:sz w:val="18"/>
              </w:rPr>
              <w:t>银行（证书号／州）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当期代理率%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同比变化pp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THE FIRST NATIONAL BANK OF ORWELL</w:t>
              <w:br/>
              <w:t>6280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1.6577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0.1737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WALDEN MUTUAL BANK</w:t>
              <w:br/>
              <w:t>59289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1.9419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1.6341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FIRST FEDERAL SAVINGS AND LOAN ASSOCIATION OF BATH</w:t>
              <w:br/>
              <w:t>29636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1.6716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0.1565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PRIMARY BANK</w:t>
              <w:br/>
              <w:t>59086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1.908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1.3356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BAR HARBOR SAVINGS AND LOAN ASSOCIATION</w:t>
              <w:br/>
              <w:t>30878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1.3679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-0.4092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FRANKLIN SAVINGS BANK</w:t>
              <w:br/>
              <w:t>19836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1.1152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0.3002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UNION BANK</w:t>
              <w:br/>
              <w:t>14158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1.0315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0.8936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NORTHEAST BANK</w:t>
              <w:br/>
              <w:t>19690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0.8182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-0.084</w:t>
            </w:r>
          </w:p>
        </w:tc>
      </w:tr>
    </w:tbl>
    <w:p>
      <w:pPr>
        <w:pStyle w:val="Heading1"/>
      </w:pPr>
      <w:r>
        <w:t>需要什么证据</w:t>
      </w:r>
    </w:p>
    <w:p>
      <w:r>
        <w:t>贷款手册Section 3.2的Loan Review Systems（本地PDF页1,3,4,5,8）支持以独立贷款复核核验分类及质量。高资产代理率不是贷款不良率、不是违规证据；也不能据此判断资不抵债。</w:t>
      </w:r>
    </w:p>
    <w:p>
      <w:r>
        <w:t>每家请求90天以上与非应计资产明细、分类/还款及担保材料、房地产集中度与抵押估值，再将盈利与资本变动对应到业务原因。委员会后五个工作日只是内部管理时限。各州覆盖选择和后续区域补足见Priority顺序，CSV逐家列证据。</w:t>
      </w:r>
    </w:p>
    <w:p>
      <w:pPr>
        <w:pStyle w:val="Heading1"/>
      </w:pPr>
      <w:r>
        <w:t>结论边界</w:t>
      </w:r>
    </w:p>
    <w:p>
      <w:r>
        <w:t>本次是冻结数据回顾，不是以2026机构快照回测2025时点可用信息。缺失不补零；权重和资产口径需保留。待拿到贷款级证据后再谈信用判断。</w:t>
      </w:r>
    </w:p>
    <w:p>
      <w:pPr>
        <w:pStyle w:val="Heading1"/>
      </w:pPr>
      <w:r>
        <w:t>可复用工作簿与静态交付边界</w:t>
      </w:r>
    </w:p>
    <w:p>
      <w:r>
        <w:t>本备忘录和八行CSV是默认起点20240630、终点20250630、8个名额与原始金额的静态快照。改季度、容量或RawFinancials三项金额后，请查看ControlPanel有效性、修订及快照状态，并重新导出Word/CSV；静态文件不会自动更新。资本比率RBCRWAJ的原始0逐行保留并标记需核实适用/报告口径，不据此断言银行资本为零，也不擅自当缺失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