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安全事件处置法律行动意见</w:t>
      </w:r>
    </w:p>
    <w:p>
      <w:r>
        <w:t>本题需尽快向FTC通报。发现日2025-03-03，最迟2025-04-02；4800人的特定控制例外不免除550人事件的通报义务。本意见及草稿均为假设演练，未发送。</w:t>
      </w:r>
    </w:p>
    <w:p>
      <w:pPr>
        <w:pStyle w:val="Heading1"/>
      </w:pPr>
      <w:r>
        <w:t>适用规则和引用链</w:t>
      </w:r>
    </w:p>
    <w:p>
      <w:r>
        <w:t>FTC业务指南实际链接到eCFR Part 314及具体条款，Sources记录原链接。以2025-01-01冻结XML为适用版，当前网页仅检索。2021旧XML用于比较；2021最终规则细化QI、控制及小机构例外，2023最终规则增加(j)，314.5记载2024-05-13生效。2023 PDF本地页1,8可核对。</w:t>
      </w:r>
    </w:p>
    <w:p>
      <w:r>
        <w:t>公司受FTC规则覆盖为题设，不重新推断真实管辖。314.2(m)定义notification event：未授权取得未加密客户信息；密钥被未授权取得使加密信息按未加密处理；未授权访问存在推定取得且无可靠反证。本案已明确下载且550人，达到至少500门槛。</w:t>
      </w:r>
    </w:p>
    <w:p>
      <w:pPr>
        <w:pStyle w:val="Heading1"/>
      </w:pPr>
      <w:r>
        <w:t>小机构例外与缺口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2880"/>
          </w:tcPr>
          <w:p>
            <w:r>
              <w:rPr>
                <w:sz w:val="18"/>
              </w:rPr>
              <w:t>gap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citation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未指定Qualified Individual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314.4(a)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无书面风险评估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特定书面义务豁免；一般风险评估仍适用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314.4(b)、(b)(1)、314.6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无MFA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法定义务适用，注意规则允许的替代条件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314.4(c)(5)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无持续监控或渗透测试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(d)(2)特定测试豁免；(d)(1)一般测试/监测适用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314.4(d)(1)、(d)(2)、314.6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无书面事件应急计划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(h)法定书面计划豁免；自愿建议制定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314.4(h)、314.6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无年度董事会安全报告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(i)特定义务豁免；自愿治理建议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314.4(i)、314.6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云服务合同无安全义务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314.4(f)(1)-(3)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仅通用入职培训，无安全持续更新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314.4(e)</w:t>
            </w:r>
          </w:p>
        </w:tc>
      </w:tr>
      <w:tr>
        <w:trPr>
          <w:cantSplit/>
        </w:trPr>
        <w:tc>
          <w:tcPr>
            <w:tcW w:type="dxa" w:w="2880"/>
          </w:tcPr>
          <w:p>
            <w:r>
              <w:rPr>
                <w:sz w:val="18"/>
              </w:rPr>
              <w:t>已发生550人通知事件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法定义务适用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314.2(m)、314.4(j)、314.5</w:t>
            </w:r>
          </w:p>
        </w:tc>
      </w:tr>
    </w:tbl>
    <w:p>
      <w:pPr>
        <w:pStyle w:val="Heading1"/>
      </w:pPr>
      <w:r>
        <w:t>事件时间与执法请求</w:t>
      </w:r>
    </w:p>
    <w:p>
      <w:r>
        <w:t>314.4(j)(2)使非涉事员工Alex在03-03的知悉归属于机构。03-06管理层、03-07顾问不是新的起算点。发现日之后30个日历日为04-02，仍须as soon as possible。</w:t>
      </w:r>
    </w:p>
    <w:p>
      <w:r>
        <w:t>314.4(j)(1)(vi)涉及执法书面决定和公开延迟：最初可请求在向FTC通知后最多30日，书面申请可再延长最多60日，进一步须FTC工作人员判断。这里仅口头请求，无适格书面材料，也不是对FTC报送的自动暂停。应请警方澄清/书面化，但不以此等待报送。</w:t>
      </w:r>
    </w:p>
    <w:p>
      <w:pPr>
        <w:pStyle w:val="Heading1"/>
      </w:pPr>
      <w:r>
        <w:t>立即行动和内部期限</w:t>
      </w:r>
    </w:p>
    <w:p>
      <w:r>
        <w:t>今天：合规负责人/法务核实550人数、数据及发现时点，组织电子通报审核；安全人员保全日志、收回泄露密钥并限制暴露，记录未完成事项。管理层确认Qualified Individual职责与资源。</w:t>
      </w:r>
    </w:p>
    <w:p>
      <w:r>
        <w:t>7天内：QI核对一般风险评估与有效监测，优先落实MFA、供应商安全义务与针对性培训；补证和实际完成情况写入登记。</w:t>
      </w:r>
    </w:p>
    <w:p>
      <w:r>
        <w:t>30天内：核验改进有效性、复查服务商与剩余风险，建议自愿形成书面响应流程并向高管报告。今天/7天/30天是内部建议，不是法规授权宽限；不能据此推迟FTC尽快报告。</w:t>
      </w:r>
    </w:p>
    <w:p>
      <w:pPr>
        <w:pStyle w:val="Heading1"/>
      </w:pPr>
      <w:r>
        <w:t>边界情景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728"/>
          </w:tcPr>
          <w:p>
            <w:r>
              <w:rPr>
                <w:sz w:val="18"/>
              </w:rPr>
              <w:t>consumers_maintained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affected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exemption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FTC_notice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safeguards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(b)(1),(d)(2),(h),(i)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其余义务仍适用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5000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不适用fewer than 5000例外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题述四项特定义务也不再豁免</w:t>
            </w:r>
          </w:p>
        </w:tc>
      </w:tr>
      <w:tr>
        <w:trPr>
          <w:cantSplit/>
        </w:trPr>
        <w:tc>
          <w:tcPr>
            <w:tcW w:type="dxa" w:w="1728"/>
          </w:tcPr>
          <w:p>
            <w:r>
              <w:rPr>
                <w:sz w:val="18"/>
              </w:rPr>
              <w:t>4800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(b)(1),(d)(2),(h),(i)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本假设不达(j)至少500门槛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安全计划和其余义务不因此消失；人数需持续核实</w:t>
            </w:r>
          </w:p>
        </w:tc>
      </w:tr>
    </w:tbl>
    <w:p>
      <w:pPr>
        <w:pStyle w:val="Heading1"/>
      </w:pPr>
      <w:r>
        <w:t>待核实范围</w:t>
      </w:r>
    </w:p>
    <w:p>
      <w:r>
        <w:t>原始机构身份、完整受影响范围、证据保全与正式电子表格细节仍须核实。州法及其他监管/客户通知义务不在所给法律材料确定范围内，需另行核查。不得将本草稿当作完成通知。</w:t>
      </w:r>
    </w:p>
    <w:p>
      <w:pPr>
        <w:pStyle w:val="Heading1"/>
      </w:pPr>
      <w:r>
        <w:t>补充假设情景E与可变证据台账</w:t>
      </w:r>
    </w:p>
    <w:p>
      <w:r>
        <w:t>E是独立演练，不替代原550人案和原通报草稿。三个导出合计825条；默认4条确认别名及2条相互独立未知别名使并集594–596名不同消费者，A密钥确认失窃时notification event为499–501人，跨越至少500门槛。因此E默认是条件性通报判断，不能直接记499并关闭。应立即核实两条别名，同时保全最早可能报送时钟。</w:t>
      </w:r>
    </w:p>
    <w:p>
      <w:r>
        <w:t>默认Mira为机构承认的非涉事代理，03-02知悉早于Alex，实际涉事Owen的03-01知悉排除。E在达到500门槛的分支，最迟2025-04-01且仍须尽快；口头警方请求不暂停向FTC报送。若代理归属未知，仍保留最早可能03-02和确认员工03-03两分支，不能擅自用较晚时钟拖延。维护人数4800仅免四项特定义务，5000时不再适用这些例外。</w:t>
      </w:r>
    </w:p>
    <w:p>
      <w:r>
        <w:t>本Word及TXT是默认事实快照。ControlPanel改值后，EvidenceBranches、情景E适用性和日期范围实际重算；必须重新审核导出对应文本。原550人案、03-03发现、04-02最迟仍为原案，未发送任何通知。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